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770B2">
      <w:pPr>
        <w:widowControl/>
        <w:shd w:val="clear" w:color="auto" w:fill="FFFFFF"/>
        <w:snapToGrid w:val="0"/>
        <w:spacing w:line="560" w:lineRule="exact"/>
        <w:rPr>
          <w:rFonts w:ascii="华文中宋" w:hAnsi="华文中宋" w:eastAsia="华文中宋" w:cs="迷你简小标宋"/>
          <w:bCs/>
          <w:spacing w:val="60"/>
          <w:kern w:val="0"/>
          <w:sz w:val="44"/>
          <w:szCs w:val="44"/>
        </w:rPr>
      </w:pPr>
    </w:p>
    <w:p w14:paraId="0110C5A6">
      <w:pPr>
        <w:widowControl/>
        <w:shd w:val="clear" w:color="auto" w:fill="FFFFFF"/>
        <w:snapToGrid w:val="0"/>
        <w:spacing w:line="560" w:lineRule="exact"/>
        <w:jc w:val="center"/>
        <w:rPr>
          <w:rFonts w:ascii="华文中宋" w:hAnsi="华文中宋" w:eastAsia="华文中宋" w:cs="迷你简小标宋"/>
          <w:bCs/>
          <w:spacing w:val="60"/>
          <w:kern w:val="0"/>
          <w:sz w:val="44"/>
          <w:szCs w:val="44"/>
        </w:rPr>
      </w:pPr>
      <w:r>
        <w:rPr>
          <w:rFonts w:hint="eastAsia" w:ascii="华文中宋" w:hAnsi="华文中宋" w:eastAsia="华文中宋" w:cs="迷你简小标宋"/>
          <w:bCs/>
          <w:spacing w:val="60"/>
          <w:kern w:val="0"/>
          <w:sz w:val="44"/>
          <w:szCs w:val="44"/>
        </w:rPr>
        <w:t>张北县人民检察院</w:t>
      </w:r>
    </w:p>
    <w:p w14:paraId="12D0B418">
      <w:pPr>
        <w:widowControl/>
        <w:shd w:val="clear" w:color="auto" w:fill="FFFFFF"/>
        <w:snapToGrid w:val="0"/>
        <w:spacing w:line="560" w:lineRule="exact"/>
        <w:jc w:val="center"/>
        <w:rPr>
          <w:rFonts w:ascii="华文中宋" w:hAnsi="华文中宋" w:eastAsia="华文中宋" w:cs="迷你简小标宋"/>
          <w:bCs/>
          <w:spacing w:val="60"/>
          <w:kern w:val="0"/>
          <w:sz w:val="44"/>
          <w:szCs w:val="44"/>
        </w:rPr>
      </w:pPr>
      <w:r>
        <w:rPr>
          <w:rFonts w:hint="eastAsia" w:ascii="华文中宋" w:hAnsi="华文中宋" w:eastAsia="华文中宋" w:cs="迷你简小标宋"/>
          <w:bCs/>
          <w:spacing w:val="60"/>
          <w:kern w:val="0"/>
          <w:sz w:val="44"/>
          <w:szCs w:val="44"/>
        </w:rPr>
        <w:t>工作报告</w:t>
      </w:r>
    </w:p>
    <w:p w14:paraId="14982DA7">
      <w:pPr>
        <w:widowControl/>
        <w:shd w:val="clear" w:color="auto" w:fill="FFFFFF"/>
        <w:snapToGrid w:val="0"/>
        <w:spacing w:line="560" w:lineRule="exact"/>
        <w:jc w:val="center"/>
        <w:rPr>
          <w:rFonts w:ascii="仿宋_GB2312" w:hAnsi="宋体" w:eastAsia="仿宋_GB2312" w:cs="宋体"/>
          <w:kern w:val="0"/>
          <w:sz w:val="32"/>
          <w:szCs w:val="32"/>
        </w:rPr>
      </w:pPr>
    </w:p>
    <w:p w14:paraId="64EA222D">
      <w:pPr>
        <w:widowControl/>
        <w:shd w:val="clear" w:color="auto" w:fill="FFFFFF"/>
        <w:snapToGrid w:val="0"/>
        <w:spacing w:line="560" w:lineRule="exact"/>
        <w:jc w:val="center"/>
        <w:rPr>
          <w:rFonts w:ascii="仿宋_GB2312" w:hAnsi="宋体" w:eastAsia="仿宋_GB2312" w:cs="宋体"/>
          <w:kern w:val="0"/>
          <w:sz w:val="32"/>
          <w:szCs w:val="32"/>
        </w:rPr>
      </w:pPr>
      <w:r>
        <w:rPr>
          <w:rFonts w:hint="eastAsia" w:ascii="Times New Roman" w:hAnsi="Times New Roman" w:eastAsia="仿宋_GB2312" w:cs="Times New Roman"/>
          <w:sz w:val="32"/>
          <w:szCs w:val="32"/>
        </w:rPr>
        <w:t>——2024</w:t>
      </w:r>
      <w:r>
        <w:rPr>
          <w:rFonts w:hint="eastAsia" w:ascii="仿宋_GB2312" w:hAnsi="宋体" w:eastAsia="仿宋_GB2312" w:cs="宋体"/>
          <w:kern w:val="0"/>
          <w:sz w:val="32"/>
          <w:szCs w:val="32"/>
        </w:rPr>
        <w:t>年</w:t>
      </w:r>
      <w:r>
        <w:rPr>
          <w:rFonts w:hint="eastAsia" w:ascii="Times New Roman" w:hAnsi="Times New Roman" w:eastAsia="仿宋_GB2312" w:cs="Times New Roman"/>
          <w:sz w:val="32"/>
          <w:szCs w:val="32"/>
        </w:rPr>
        <w:t>2</w:t>
      </w:r>
      <w:r>
        <w:rPr>
          <w:rFonts w:hint="eastAsia" w:ascii="仿宋_GB2312" w:hAnsi="宋体" w:eastAsia="仿宋_GB2312" w:cs="宋体"/>
          <w:kern w:val="0"/>
          <w:sz w:val="32"/>
          <w:szCs w:val="32"/>
        </w:rPr>
        <w:t>月</w:t>
      </w:r>
      <w:r>
        <w:rPr>
          <w:rFonts w:hint="eastAsia" w:ascii="Times New Roman" w:hAnsi="Times New Roman" w:eastAsia="仿宋_GB2312" w:cs="Times New Roman"/>
          <w:sz w:val="32"/>
          <w:szCs w:val="32"/>
        </w:rPr>
        <w:t>4</w:t>
      </w:r>
      <w:r>
        <w:rPr>
          <w:rFonts w:hint="eastAsia" w:ascii="仿宋_GB2312" w:hAnsi="宋体" w:eastAsia="仿宋_GB2312" w:cs="宋体"/>
          <w:kern w:val="0"/>
          <w:sz w:val="32"/>
          <w:szCs w:val="32"/>
        </w:rPr>
        <w:t>日在张北县第十八届</w:t>
      </w:r>
    </w:p>
    <w:p w14:paraId="70FA6FFF">
      <w:pPr>
        <w:widowControl/>
        <w:shd w:val="clear" w:color="auto" w:fill="FFFFFF"/>
        <w:snapToGrid w:val="0"/>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人民代表大会第四次会议上</w:t>
      </w:r>
    </w:p>
    <w:p w14:paraId="6DD5ED33">
      <w:pPr>
        <w:widowControl/>
        <w:shd w:val="clear" w:color="auto" w:fill="FFFFFF"/>
        <w:snapToGrid w:val="0"/>
        <w:spacing w:line="560" w:lineRule="exact"/>
        <w:jc w:val="center"/>
        <w:rPr>
          <w:rFonts w:ascii="仿宋_GB2312" w:hAnsi="宋体" w:eastAsia="仿宋_GB2312" w:cs="宋体"/>
          <w:kern w:val="0"/>
          <w:sz w:val="32"/>
          <w:szCs w:val="32"/>
        </w:rPr>
      </w:pPr>
    </w:p>
    <w:p w14:paraId="65E9AF45">
      <w:pPr>
        <w:widowControl/>
        <w:shd w:val="clear" w:color="auto" w:fill="FFFFFF"/>
        <w:snapToGrid w:val="0"/>
        <w:spacing w:line="560" w:lineRule="exact"/>
        <w:jc w:val="center"/>
        <w:rPr>
          <w:rFonts w:hint="eastAsia" w:ascii="文鼎CS楷体" w:hAnsi="文鼎CS楷体" w:cs="文鼎CS楷体"/>
          <w:b/>
          <w:bCs/>
          <w:kern w:val="0"/>
          <w:sz w:val="32"/>
          <w:szCs w:val="32"/>
        </w:rPr>
      </w:pPr>
      <w:r>
        <w:rPr>
          <w:rFonts w:hint="eastAsia" w:ascii="仿宋_GB2312" w:hAnsi="宋体" w:eastAsia="仿宋_GB2312" w:cs="宋体"/>
          <w:kern w:val="0"/>
          <w:sz w:val="32"/>
          <w:szCs w:val="32"/>
        </w:rPr>
        <w:t xml:space="preserve">张北县人民检察院检察长 </w:t>
      </w:r>
      <w:r>
        <w:rPr>
          <w:rFonts w:hint="eastAsia" w:ascii="文鼎CS楷体" w:hAnsi="文鼎CS楷体" w:eastAsia="文鼎CS楷体" w:cs="文鼎CS楷体"/>
          <w:b/>
          <w:bCs/>
          <w:kern w:val="0"/>
          <w:sz w:val="32"/>
          <w:szCs w:val="32"/>
        </w:rPr>
        <w:t>王</w:t>
      </w:r>
      <w:r>
        <w:rPr>
          <w:rFonts w:hint="eastAsia" w:ascii="文鼎CS楷体" w:hAnsi="文鼎CS楷体" w:cs="文鼎CS楷体"/>
          <w:b/>
          <w:bCs/>
          <w:kern w:val="0"/>
          <w:sz w:val="32"/>
          <w:szCs w:val="32"/>
        </w:rPr>
        <w:t xml:space="preserve"> </w:t>
      </w:r>
      <w:r>
        <w:rPr>
          <w:rFonts w:hint="eastAsia" w:ascii="文鼎CS楷体" w:hAnsi="文鼎CS楷体" w:eastAsia="文鼎CS楷体" w:cs="文鼎CS楷体"/>
          <w:b/>
          <w:bCs/>
          <w:kern w:val="0"/>
          <w:sz w:val="32"/>
          <w:szCs w:val="32"/>
        </w:rPr>
        <w:t>东</w:t>
      </w:r>
    </w:p>
    <w:p w14:paraId="15E0C83A">
      <w:pPr>
        <w:widowControl/>
        <w:shd w:val="clear" w:color="auto" w:fill="FFFFFF"/>
        <w:snapToGrid w:val="0"/>
        <w:spacing w:line="560" w:lineRule="exact"/>
        <w:jc w:val="center"/>
        <w:rPr>
          <w:rFonts w:hint="eastAsia" w:ascii="文鼎CS楷体" w:hAnsi="文鼎CS楷体" w:cs="文鼎CS楷体"/>
          <w:kern w:val="0"/>
          <w:sz w:val="32"/>
          <w:szCs w:val="32"/>
        </w:rPr>
      </w:pPr>
    </w:p>
    <w:p w14:paraId="07E1C2CE">
      <w:pPr>
        <w:spacing w:line="560" w:lineRule="exact"/>
        <w:rPr>
          <w:rFonts w:ascii="仿宋_GB2312" w:eastAsia="仿宋_GB2312"/>
          <w:b/>
          <w:bCs/>
          <w:sz w:val="32"/>
          <w:szCs w:val="32"/>
        </w:rPr>
      </w:pPr>
      <w:r>
        <w:rPr>
          <w:rFonts w:hint="eastAsia" w:ascii="仿宋_GB2312" w:eastAsia="仿宋_GB2312"/>
          <w:b/>
          <w:bCs/>
          <w:sz w:val="32"/>
          <w:szCs w:val="32"/>
        </w:rPr>
        <w:t>各位代表：</w:t>
      </w:r>
    </w:p>
    <w:p w14:paraId="605BAFD0">
      <w:pPr>
        <w:spacing w:line="560" w:lineRule="exact"/>
        <w:ind w:firstLine="640" w:firstLineChars="200"/>
        <w:rPr>
          <w:rFonts w:ascii="仿宋_GB2312" w:eastAsia="仿宋_GB2312"/>
          <w:sz w:val="32"/>
          <w:szCs w:val="32"/>
        </w:rPr>
      </w:pPr>
      <w:r>
        <w:rPr>
          <w:rFonts w:hint="eastAsia" w:ascii="仿宋_GB2312" w:eastAsia="仿宋_GB2312"/>
          <w:sz w:val="32"/>
          <w:szCs w:val="32"/>
        </w:rPr>
        <w:t>现在，我代表县人民检察院向大会报告工作，请予审议，并请各位政协委员及其他列席同志提出意见。</w:t>
      </w:r>
    </w:p>
    <w:p w14:paraId="3CA06CF3">
      <w:pPr>
        <w:spacing w:line="560" w:lineRule="exact"/>
        <w:ind w:firstLine="640" w:firstLineChars="200"/>
        <w:rPr>
          <w:rFonts w:ascii="仿宋_GB2312" w:eastAsia="仿宋_GB2312"/>
          <w:sz w:val="32"/>
          <w:szCs w:val="32"/>
        </w:rPr>
      </w:pPr>
    </w:p>
    <w:p w14:paraId="6DAD80E0">
      <w:pPr>
        <w:spacing w:line="560" w:lineRule="exact"/>
        <w:jc w:val="center"/>
        <w:rPr>
          <w:rFonts w:ascii="黑体" w:hAnsi="黑体" w:eastAsia="黑体"/>
          <w:sz w:val="32"/>
          <w:szCs w:val="32"/>
        </w:rPr>
      </w:pPr>
      <w:r>
        <w:rPr>
          <w:rFonts w:hint="eastAsia" w:ascii="Times New Roman" w:hAnsi="Times New Roman" w:eastAsia="仿宋_GB2312" w:cs="Times New Roman"/>
          <w:sz w:val="32"/>
          <w:szCs w:val="32"/>
        </w:rPr>
        <w:t>2023</w:t>
      </w:r>
      <w:r>
        <w:rPr>
          <w:rFonts w:hint="eastAsia" w:ascii="黑体" w:hAnsi="黑体" w:eastAsia="黑体"/>
          <w:sz w:val="32"/>
          <w:szCs w:val="32"/>
        </w:rPr>
        <w:t>年主要工作</w:t>
      </w:r>
    </w:p>
    <w:p w14:paraId="053675ED">
      <w:pPr>
        <w:spacing w:line="560" w:lineRule="exact"/>
        <w:ind w:firstLine="640" w:firstLineChars="200"/>
        <w:rPr>
          <w:rFonts w:ascii="仿宋_GB2312" w:eastAsia="仿宋_GB2312"/>
          <w:sz w:val="32"/>
          <w:szCs w:val="32"/>
        </w:rPr>
      </w:pPr>
      <w:r>
        <w:rPr>
          <w:rFonts w:hint="eastAsia" w:ascii="仿宋_GB2312" w:eastAsia="仿宋_GB2312"/>
          <w:sz w:val="32"/>
          <w:szCs w:val="32"/>
        </w:rPr>
        <w:t>2023年，在市检察院和县委的坚强领导下，在县人大及其常委会的有力监督下，在县政府、县政协以及社会各界的大力支持下，张北县人民检察院坚持以习近平新时代中国特色社会主义思想为指导，全面贯彻党的二十大精神，深入践行习近平法治思想，</w:t>
      </w:r>
      <w:r>
        <w:rPr>
          <w:rFonts w:ascii="仿宋_GB2312" w:eastAsia="仿宋_GB2312"/>
          <w:sz w:val="32"/>
          <w:szCs w:val="32"/>
        </w:rPr>
        <w:t>紧紧围绕县委</w:t>
      </w:r>
      <w:r>
        <w:rPr>
          <w:rFonts w:hint="eastAsia" w:ascii="仿宋_GB2312" w:eastAsia="仿宋_GB2312"/>
          <w:sz w:val="32"/>
          <w:szCs w:val="32"/>
        </w:rPr>
        <w:t>“</w:t>
      </w:r>
      <w:r>
        <w:rPr>
          <w:rFonts w:ascii="仿宋_GB2312" w:eastAsia="仿宋_GB2312"/>
          <w:sz w:val="32"/>
          <w:szCs w:val="32"/>
        </w:rPr>
        <w:t>1146</w:t>
      </w:r>
      <w:r>
        <w:rPr>
          <w:rFonts w:hint="eastAsia" w:ascii="仿宋_GB2312" w:eastAsia="仿宋_GB2312"/>
          <w:sz w:val="32"/>
          <w:szCs w:val="32"/>
        </w:rPr>
        <w:t>”总体工作思路，依法能动履行检察职能，着力提升法律监督能力，</w:t>
      </w:r>
      <w:r>
        <w:rPr>
          <w:rFonts w:hint="eastAsia" w:ascii="仿宋_GB2312" w:eastAsia="仿宋_GB2312"/>
          <w:color w:val="000000"/>
          <w:sz w:val="32"/>
          <w:szCs w:val="32"/>
          <w:shd w:val="clear" w:color="auto" w:fill="FFFFFF"/>
        </w:rPr>
        <w:t>各项检察工作取得新成效，</w:t>
      </w:r>
      <w:r>
        <w:rPr>
          <w:rFonts w:hint="eastAsia" w:ascii="仿宋_GB2312" w:eastAsia="仿宋_GB2312"/>
          <w:sz w:val="32"/>
          <w:szCs w:val="32"/>
        </w:rPr>
        <w:t>实现新提升。</w:t>
      </w:r>
    </w:p>
    <w:p w14:paraId="3311EE96">
      <w:pPr>
        <w:spacing w:line="560" w:lineRule="exact"/>
        <w:ind w:firstLine="640" w:firstLineChars="200"/>
        <w:rPr>
          <w:rFonts w:ascii="黑体" w:hAnsi="黑体" w:eastAsia="黑体"/>
          <w:sz w:val="32"/>
          <w:szCs w:val="32"/>
        </w:rPr>
      </w:pPr>
      <w:r>
        <w:rPr>
          <w:rFonts w:hint="eastAsia" w:ascii="黑体" w:hAnsi="黑体" w:eastAsia="黑体"/>
          <w:sz w:val="32"/>
          <w:szCs w:val="32"/>
        </w:rPr>
        <w:t>一、始终坚持为大局服务，在保障经济社会高质量发展中主动担当、能动作为</w:t>
      </w:r>
    </w:p>
    <w:p w14:paraId="4C721B01">
      <w:pPr>
        <w:spacing w:line="560" w:lineRule="exact"/>
        <w:ind w:firstLine="640" w:firstLineChars="200"/>
        <w:rPr>
          <w:rFonts w:ascii="仿宋_GB2312" w:eastAsia="仿宋_GB2312"/>
          <w:sz w:val="32"/>
          <w:szCs w:val="32"/>
        </w:rPr>
      </w:pPr>
      <w:r>
        <w:rPr>
          <w:rFonts w:ascii="仿宋_GB2312" w:eastAsia="仿宋_GB2312"/>
          <w:sz w:val="32"/>
          <w:szCs w:val="32"/>
        </w:rPr>
        <w:t>主动对标全县经济社会发展，完整、准确、全面贯彻新发展理念</w:t>
      </w:r>
      <w:r>
        <w:rPr>
          <w:rFonts w:hint="eastAsia" w:ascii="仿宋_GB2312" w:eastAsia="仿宋_GB2312"/>
          <w:sz w:val="32"/>
          <w:szCs w:val="32"/>
        </w:rPr>
        <w:t>，积极</w:t>
      </w:r>
      <w:r>
        <w:rPr>
          <w:rFonts w:ascii="仿宋_GB2312" w:eastAsia="仿宋_GB2312"/>
          <w:sz w:val="32"/>
          <w:szCs w:val="32"/>
        </w:rPr>
        <w:t>为经济社会高质量发展营造良好法治环境。</w:t>
      </w:r>
      <w:r>
        <w:rPr>
          <w:rFonts w:hint="eastAsia" w:ascii="仿宋_GB2312" w:eastAsia="仿宋_GB2312"/>
          <w:sz w:val="32"/>
          <w:szCs w:val="32"/>
        </w:rPr>
        <w:t>7件案件获评最高检及省级典型案例，被评为全省“青年文明号”，</w:t>
      </w:r>
    </w:p>
    <w:p w14:paraId="0A4F1F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630" w:firstLineChars="196"/>
        <w:jc w:val="left"/>
        <w:rPr>
          <w:rFonts w:ascii="仿宋_GB2312" w:hAnsi="仿宋_GB2312" w:eastAsia="仿宋_GB2312" w:cs="仿宋_GB2312"/>
          <w:sz w:val="32"/>
          <w:szCs w:val="40"/>
        </w:rPr>
      </w:pPr>
      <w:r>
        <w:rPr>
          <w:rFonts w:ascii="楷体_GB2312" w:eastAsia="楷体_GB2312"/>
          <w:b/>
          <w:sz w:val="32"/>
          <w:szCs w:val="32"/>
        </w:rPr>
        <w:t>一是坚定维护社会和谐稳定。</w:t>
      </w:r>
      <w:r>
        <w:rPr>
          <w:rFonts w:ascii="仿宋_GB2312" w:hAnsi="仿宋_GB2312" w:eastAsia="仿宋_GB2312" w:cs="仿宋_GB2312"/>
          <w:sz w:val="32"/>
          <w:szCs w:val="40"/>
        </w:rPr>
        <w:t>始终把维护国家安全和社会安定放在首位，依法严厉打击各类违法犯罪，受理提请逮捕案件1</w:t>
      </w:r>
      <w:r>
        <w:rPr>
          <w:rFonts w:hint="eastAsia" w:ascii="仿宋_GB2312" w:hAnsi="仿宋_GB2312" w:eastAsia="仿宋_GB2312" w:cs="仿宋_GB2312"/>
          <w:sz w:val="32"/>
          <w:szCs w:val="40"/>
        </w:rPr>
        <w:t>51</w:t>
      </w:r>
      <w:r>
        <w:rPr>
          <w:rFonts w:ascii="仿宋_GB2312" w:hAnsi="仿宋_GB2312" w:eastAsia="仿宋_GB2312" w:cs="仿宋_GB2312"/>
          <w:sz w:val="32"/>
          <w:szCs w:val="40"/>
        </w:rPr>
        <w:t>件2</w:t>
      </w:r>
      <w:r>
        <w:rPr>
          <w:rFonts w:hint="eastAsia" w:ascii="仿宋_GB2312" w:hAnsi="仿宋_GB2312" w:eastAsia="仿宋_GB2312" w:cs="仿宋_GB2312"/>
          <w:sz w:val="32"/>
          <w:szCs w:val="40"/>
        </w:rPr>
        <w:t>32</w:t>
      </w:r>
      <w:r>
        <w:rPr>
          <w:rFonts w:ascii="仿宋_GB2312" w:hAnsi="仿宋_GB2312" w:eastAsia="仿宋_GB2312" w:cs="仿宋_GB2312"/>
          <w:sz w:val="32"/>
          <w:szCs w:val="40"/>
        </w:rPr>
        <w:t>人，批准逮捕</w:t>
      </w:r>
      <w:r>
        <w:rPr>
          <w:rFonts w:hint="eastAsia" w:ascii="仿宋_GB2312" w:hAnsi="仿宋_GB2312" w:eastAsia="仿宋_GB2312" w:cs="仿宋_GB2312"/>
          <w:sz w:val="32"/>
          <w:szCs w:val="40"/>
        </w:rPr>
        <w:t>93</w:t>
      </w:r>
      <w:r>
        <w:rPr>
          <w:rFonts w:ascii="仿宋_GB2312" w:hAnsi="仿宋_GB2312" w:eastAsia="仿宋_GB2312" w:cs="仿宋_GB2312"/>
          <w:sz w:val="32"/>
          <w:szCs w:val="40"/>
        </w:rPr>
        <w:t>件1</w:t>
      </w:r>
      <w:r>
        <w:rPr>
          <w:rFonts w:hint="eastAsia" w:ascii="仿宋_GB2312" w:hAnsi="仿宋_GB2312" w:eastAsia="仿宋_GB2312" w:cs="仿宋_GB2312"/>
          <w:sz w:val="32"/>
          <w:szCs w:val="40"/>
        </w:rPr>
        <w:t>30</w:t>
      </w:r>
      <w:r>
        <w:rPr>
          <w:rFonts w:ascii="仿宋_GB2312" w:hAnsi="仿宋_GB2312" w:eastAsia="仿宋_GB2312" w:cs="仿宋_GB2312"/>
          <w:sz w:val="32"/>
          <w:szCs w:val="40"/>
        </w:rPr>
        <w:t>人；受理审查起诉案件4</w:t>
      </w:r>
      <w:r>
        <w:rPr>
          <w:rFonts w:hint="eastAsia" w:ascii="仿宋_GB2312" w:hAnsi="仿宋_GB2312" w:eastAsia="仿宋_GB2312" w:cs="仿宋_GB2312"/>
          <w:sz w:val="32"/>
          <w:szCs w:val="40"/>
        </w:rPr>
        <w:t>34</w:t>
      </w:r>
      <w:r>
        <w:rPr>
          <w:rFonts w:ascii="仿宋_GB2312" w:hAnsi="仿宋_GB2312" w:eastAsia="仿宋_GB2312" w:cs="仿宋_GB2312"/>
          <w:sz w:val="32"/>
          <w:szCs w:val="40"/>
        </w:rPr>
        <w:t>件5</w:t>
      </w:r>
      <w:r>
        <w:rPr>
          <w:rFonts w:hint="eastAsia" w:ascii="仿宋_GB2312" w:hAnsi="仿宋_GB2312" w:eastAsia="仿宋_GB2312" w:cs="仿宋_GB2312"/>
          <w:sz w:val="32"/>
          <w:szCs w:val="40"/>
        </w:rPr>
        <w:t>21</w:t>
      </w:r>
      <w:r>
        <w:rPr>
          <w:rFonts w:ascii="仿宋_GB2312" w:hAnsi="仿宋_GB2312" w:eastAsia="仿宋_GB2312" w:cs="仿宋_GB2312"/>
          <w:sz w:val="32"/>
          <w:szCs w:val="40"/>
        </w:rPr>
        <w:t>人，提起公诉2</w:t>
      </w:r>
      <w:r>
        <w:rPr>
          <w:rFonts w:hint="eastAsia" w:ascii="仿宋_GB2312" w:hAnsi="仿宋_GB2312" w:eastAsia="仿宋_GB2312" w:cs="仿宋_GB2312"/>
          <w:sz w:val="32"/>
          <w:szCs w:val="40"/>
        </w:rPr>
        <w:t>70</w:t>
      </w:r>
      <w:r>
        <w:rPr>
          <w:rFonts w:ascii="仿宋_GB2312" w:hAnsi="仿宋_GB2312" w:eastAsia="仿宋_GB2312" w:cs="仿宋_GB2312"/>
          <w:sz w:val="32"/>
          <w:szCs w:val="40"/>
        </w:rPr>
        <w:t>件3</w:t>
      </w:r>
      <w:r>
        <w:rPr>
          <w:rFonts w:hint="eastAsia" w:ascii="仿宋_GB2312" w:hAnsi="仿宋_GB2312" w:eastAsia="仿宋_GB2312" w:cs="仿宋_GB2312"/>
          <w:sz w:val="32"/>
          <w:szCs w:val="40"/>
        </w:rPr>
        <w:t>46</w:t>
      </w:r>
      <w:r>
        <w:rPr>
          <w:rFonts w:ascii="仿宋_GB2312" w:hAnsi="仿宋_GB2312" w:eastAsia="仿宋_GB2312" w:cs="仿宋_GB2312"/>
          <w:sz w:val="32"/>
          <w:szCs w:val="40"/>
        </w:rPr>
        <w:t>人；</w:t>
      </w:r>
      <w:r>
        <w:rPr>
          <w:rFonts w:hint="eastAsia" w:ascii="仿宋_GB2312" w:hAnsi="仿宋_GB2312" w:eastAsia="仿宋_GB2312" w:cs="仿宋_GB2312"/>
          <w:sz w:val="32"/>
          <w:szCs w:val="40"/>
        </w:rPr>
        <w:t>严惩故意杀人、故意伤害、强奸等严重暴力犯罪，批准逮捕9件10人，起诉25件32人</w:t>
      </w:r>
      <w:r>
        <w:rPr>
          <w:rFonts w:ascii="仿宋_GB2312" w:hAnsi="仿宋_GB2312" w:eastAsia="仿宋_GB2312" w:cs="仿宋_GB2312"/>
          <w:sz w:val="32"/>
          <w:szCs w:val="40"/>
        </w:rPr>
        <w:t>；批准逮捕“两抢一盗”、诈骗等多发性侵财案件33件53人，起诉32件56人；以防范化解金融风险为重点，惩治起诉集资诈骗、非法吸收公众存款、电信网络诈骗等涉众型经济犯罪25件29人，起诉26件42人</w:t>
      </w:r>
      <w:r>
        <w:rPr>
          <w:rFonts w:hint="eastAsia" w:ascii="仿宋_GB2312" w:hAnsi="仿宋_GB2312" w:eastAsia="仿宋_GB2312" w:cs="仿宋_GB2312"/>
          <w:sz w:val="32"/>
          <w:szCs w:val="40"/>
        </w:rPr>
        <w:t>; 依法批准逮捕5名缅北回流人员诈骗罪和偷越国（边）境罪嫌疑人</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切实维护人民群众生命财产安全和社会大局稳定。</w:t>
      </w:r>
    </w:p>
    <w:p w14:paraId="52F2E978">
      <w:pPr>
        <w:spacing w:line="560" w:lineRule="exact"/>
        <w:ind w:firstLine="643" w:firstLineChars="200"/>
        <w:rPr>
          <w:rFonts w:ascii="仿宋_GB2312" w:eastAsia="仿宋_GB2312"/>
          <w:sz w:val="32"/>
          <w:szCs w:val="32"/>
        </w:rPr>
      </w:pPr>
      <w:r>
        <w:rPr>
          <w:rFonts w:hint="eastAsia" w:ascii="楷体_GB2312" w:eastAsia="楷体_GB2312"/>
          <w:b/>
          <w:sz w:val="32"/>
          <w:szCs w:val="32"/>
        </w:rPr>
        <w:t>二是持续优化法治化营商环境。</w:t>
      </w:r>
      <w:r>
        <w:rPr>
          <w:rFonts w:hint="eastAsia" w:ascii="仿宋_GB2312" w:eastAsia="仿宋_GB2312"/>
          <w:sz w:val="32"/>
          <w:szCs w:val="32"/>
        </w:rPr>
        <w:t>紧扣</w:t>
      </w:r>
      <w:r>
        <w:rPr>
          <w:rFonts w:ascii="仿宋_GB2312" w:eastAsia="仿宋_GB2312"/>
          <w:sz w:val="32"/>
          <w:szCs w:val="32"/>
        </w:rPr>
        <w:t>县委关于优化营商环境部署要求</w:t>
      </w:r>
      <w:r>
        <w:rPr>
          <w:rFonts w:hint="eastAsia" w:ascii="仿宋_GB2312" w:eastAsia="仿宋_GB2312"/>
          <w:sz w:val="32"/>
          <w:szCs w:val="32"/>
        </w:rPr>
        <w:t>，</w:t>
      </w:r>
      <w:r>
        <w:rPr>
          <w:rFonts w:ascii="仿宋_GB2312" w:eastAsia="仿宋_GB2312"/>
          <w:sz w:val="32"/>
          <w:szCs w:val="32"/>
        </w:rPr>
        <w:t>依法服务保障市场主体</w:t>
      </w:r>
      <w:r>
        <w:rPr>
          <w:rFonts w:hint="eastAsia" w:ascii="仿宋_GB2312" w:eastAsia="仿宋_GB2312"/>
          <w:sz w:val="32"/>
          <w:szCs w:val="32"/>
        </w:rPr>
        <w:t>，</w:t>
      </w:r>
      <w:r>
        <w:rPr>
          <w:rFonts w:ascii="仿宋_GB2312" w:eastAsia="仿宋_GB2312"/>
          <w:sz w:val="32"/>
          <w:szCs w:val="32"/>
        </w:rPr>
        <w:t>促进经济高质量发展。</w:t>
      </w:r>
      <w:r>
        <w:rPr>
          <w:rFonts w:hint="eastAsia" w:ascii="仿宋_GB2312" w:eastAsia="仿宋_GB2312"/>
          <w:sz w:val="32"/>
          <w:szCs w:val="32"/>
        </w:rPr>
        <w:t>设立涉企案件办理“绿色通道”，依法批捕集资诈骗、合同诈骗、非法经营等破坏社会主义市场经济秩序案件2件2人，提起公诉6件7人。办理涉企民事行政检察监督案件5件，民营企业申请检察机关支持起诉案件3件，积极助力企业高质量发展。院领导带头包联走访企业18家，帮助解决问题12个。组织开展“敲门问需结对子，市场主体大走访”活动，对正常经营的206个市场主体形成一对一“结对子”包联，收集企业诉求80余条，提供法律服务50余次。向民营企业发放法律风险防范提示手册工作情况被省院《优化法治化营商环境专刊》采用，全省推广。</w:t>
      </w:r>
    </w:p>
    <w:p w14:paraId="12D65EDC">
      <w:pPr>
        <w:pStyle w:val="26"/>
        <w:spacing w:line="560" w:lineRule="exact"/>
        <w:ind w:firstLine="643" w:firstLineChars="200"/>
        <w:rPr>
          <w:rFonts w:hint="default" w:ascii="仿宋_GB2312" w:eastAsia="仿宋_GB2312" w:hAnsiTheme="minorHAnsi" w:cstheme="minorBidi"/>
          <w:sz w:val="32"/>
          <w:szCs w:val="32"/>
        </w:rPr>
      </w:pPr>
      <w:r>
        <w:rPr>
          <w:rFonts w:ascii="楷体_GB2312" w:eastAsia="楷体_GB2312" w:hAnsiTheme="minorHAnsi" w:cstheme="minorBidi"/>
          <w:b/>
          <w:sz w:val="32"/>
          <w:szCs w:val="32"/>
        </w:rPr>
        <w:t>三是主动助推社会治理现代化水平。</w:t>
      </w:r>
      <w:r>
        <w:rPr>
          <w:rFonts w:ascii="仿宋_GB2312" w:eastAsia="仿宋_GB2312" w:hAnsiTheme="minorHAnsi" w:cstheme="minorBidi"/>
          <w:sz w:val="32"/>
          <w:szCs w:val="32"/>
        </w:rPr>
        <w:t>自觉把检察工作摆到县域治理现代化中谋划和推进,以“检察之治”助力“社会之治”。紧紧围绕乡村振兴战略实施和“首都两区”建设部署要求，督促相关职能部门开展违法取用地下水整治行动，关停违法取水井132眼，填埋蓄水池26处，取缔违法加水、洗车点38处，督促补办取水许可证149个、安装计量设施166套，县域内取用水秩序得到有效规范。依法加强行业治理，针对存在的超限超载，小区内消防安全、占用绿化带种植、飞线充电等乱象，开展专题调研，向相关职能部门发出《检察建议书》11份，推动人民群众关心关注的热点难点问题解决，3件案件获评全省典型案例。</w:t>
      </w:r>
    </w:p>
    <w:p w14:paraId="1F1EA22F">
      <w:pPr>
        <w:pStyle w:val="26"/>
        <w:spacing w:line="560" w:lineRule="exact"/>
        <w:ind w:firstLine="640" w:firstLineChars="200"/>
        <w:rPr>
          <w:rFonts w:hint="default" w:ascii="黑体" w:hAnsi="黑体" w:eastAsia="黑体"/>
          <w:sz w:val="32"/>
          <w:szCs w:val="32"/>
        </w:rPr>
      </w:pPr>
      <w:r>
        <w:rPr>
          <w:rFonts w:ascii="黑体" w:hAnsi="黑体" w:eastAsia="黑体"/>
          <w:sz w:val="32"/>
          <w:szCs w:val="32"/>
        </w:rPr>
        <w:t>二、始终坚持为人民司法，在纾解人民群众急难愁盼中践行宗旨、站稳立场</w:t>
      </w:r>
    </w:p>
    <w:p w14:paraId="7F624B7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牢固树立“</w:t>
      </w:r>
      <w:r>
        <w:rPr>
          <w:rFonts w:ascii="仿宋_GB2312" w:hAnsi="宋体" w:eastAsia="仿宋_GB2312" w:cs="宋体"/>
          <w:kern w:val="0"/>
          <w:sz w:val="32"/>
          <w:szCs w:val="32"/>
        </w:rPr>
        <w:t>高质效办好每一个案件</w:t>
      </w:r>
      <w:r>
        <w:rPr>
          <w:rFonts w:hint="eastAsia" w:ascii="仿宋_GB2312" w:hAnsi="宋体" w:eastAsia="仿宋_GB2312" w:cs="宋体"/>
          <w:kern w:val="0"/>
          <w:sz w:val="32"/>
          <w:szCs w:val="32"/>
        </w:rPr>
        <w:t>”</w:t>
      </w:r>
      <w:r>
        <w:rPr>
          <w:rFonts w:ascii="仿宋_GB2312" w:hAnsi="宋体" w:eastAsia="仿宋_GB2312" w:cs="宋体"/>
          <w:kern w:val="0"/>
          <w:sz w:val="32"/>
          <w:szCs w:val="32"/>
        </w:rPr>
        <w:t>的</w:t>
      </w:r>
      <w:r>
        <w:rPr>
          <w:rFonts w:hint="eastAsia" w:ascii="仿宋_GB2312" w:hAnsi="宋体" w:eastAsia="仿宋_GB2312" w:cs="宋体"/>
          <w:kern w:val="0"/>
          <w:sz w:val="32"/>
          <w:szCs w:val="32"/>
        </w:rPr>
        <w:t>理念，</w:t>
      </w:r>
      <w:r>
        <w:rPr>
          <w:rFonts w:ascii="仿宋_GB2312" w:hAnsi="宋体" w:eastAsia="仿宋_GB2312" w:cs="宋体"/>
          <w:kern w:val="0"/>
          <w:sz w:val="32"/>
          <w:szCs w:val="32"/>
        </w:rPr>
        <w:t>秉持</w:t>
      </w:r>
      <w:r>
        <w:rPr>
          <w:rFonts w:hint="eastAsia" w:ascii="仿宋_GB2312" w:hAnsi="宋体" w:eastAsia="仿宋_GB2312" w:cs="宋体"/>
          <w:kern w:val="0"/>
          <w:sz w:val="32"/>
          <w:szCs w:val="32"/>
        </w:rPr>
        <w:t>“</w:t>
      </w:r>
      <w:r>
        <w:rPr>
          <w:rFonts w:ascii="仿宋_GB2312" w:hAnsi="宋体" w:eastAsia="仿宋_GB2312" w:cs="宋体"/>
          <w:kern w:val="0"/>
          <w:sz w:val="32"/>
          <w:szCs w:val="32"/>
        </w:rPr>
        <w:t>用心用情办好每一个案件</w:t>
      </w:r>
      <w:r>
        <w:rPr>
          <w:rFonts w:hint="eastAsia" w:ascii="仿宋_GB2312" w:hAnsi="宋体" w:eastAsia="仿宋_GB2312" w:cs="宋体"/>
          <w:kern w:val="0"/>
          <w:sz w:val="32"/>
          <w:szCs w:val="32"/>
        </w:rPr>
        <w:t>”的</w:t>
      </w:r>
      <w:r>
        <w:rPr>
          <w:rFonts w:ascii="仿宋_GB2312" w:hAnsi="宋体" w:eastAsia="仿宋_GB2312" w:cs="宋体"/>
          <w:kern w:val="0"/>
          <w:sz w:val="32"/>
          <w:szCs w:val="32"/>
        </w:rPr>
        <w:t>初心，积极化解社会矛盾，</w:t>
      </w:r>
      <w:r>
        <w:rPr>
          <w:rFonts w:hint="eastAsia" w:ascii="仿宋_GB2312" w:hAnsi="宋体" w:eastAsia="仿宋_GB2312" w:cs="宋体"/>
          <w:kern w:val="0"/>
          <w:sz w:val="32"/>
          <w:szCs w:val="32"/>
        </w:rPr>
        <w:t>依法处理群众诉求，</w:t>
      </w:r>
      <w:r>
        <w:rPr>
          <w:rFonts w:ascii="仿宋_GB2312" w:hAnsi="宋体" w:eastAsia="仿宋_GB2312" w:cs="宋体"/>
          <w:kern w:val="0"/>
          <w:sz w:val="32"/>
          <w:szCs w:val="32"/>
        </w:rPr>
        <w:t>助力平安</w:t>
      </w:r>
      <w:r>
        <w:rPr>
          <w:rFonts w:hint="eastAsia" w:ascii="仿宋_GB2312" w:hAnsi="宋体" w:eastAsia="仿宋_GB2312" w:cs="宋体"/>
          <w:kern w:val="0"/>
          <w:sz w:val="32"/>
          <w:szCs w:val="32"/>
        </w:rPr>
        <w:t>张北</w:t>
      </w:r>
      <w:r>
        <w:rPr>
          <w:rFonts w:ascii="仿宋_GB2312" w:hAnsi="宋体" w:eastAsia="仿宋_GB2312" w:cs="宋体"/>
          <w:kern w:val="0"/>
          <w:sz w:val="32"/>
          <w:szCs w:val="32"/>
        </w:rPr>
        <w:t>建设</w:t>
      </w:r>
      <w:r>
        <w:rPr>
          <w:rFonts w:hint="eastAsia" w:ascii="仿宋_GB2312" w:hAnsi="宋体" w:eastAsia="仿宋_GB2312" w:cs="宋体"/>
          <w:kern w:val="0"/>
          <w:sz w:val="32"/>
          <w:szCs w:val="32"/>
        </w:rPr>
        <w:t>。</w:t>
      </w:r>
    </w:p>
    <w:p w14:paraId="5E84BB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90"/>
        <w:jc w:val="both"/>
        <w:textAlignment w:val="auto"/>
        <w:rPr>
          <w:rFonts w:ascii="仿宋_GB2312" w:eastAsia="仿宋_GB2312" w:hAnsiTheme="minorHAnsi" w:cstheme="minorBidi"/>
          <w:kern w:val="2"/>
          <w:sz w:val="32"/>
          <w:szCs w:val="32"/>
        </w:rPr>
      </w:pPr>
      <w:r>
        <w:rPr>
          <w:rFonts w:hint="eastAsia" w:ascii="楷体_GB2312" w:eastAsia="楷体_GB2312"/>
          <w:b/>
          <w:sz w:val="32"/>
          <w:szCs w:val="32"/>
        </w:rPr>
        <w:t>一是深入践行新时代“枫桥经验”。</w:t>
      </w:r>
      <w:r>
        <w:rPr>
          <w:rFonts w:hint="eastAsia" w:ascii="仿宋_GB2312" w:eastAsia="仿宋_GB2312"/>
          <w:sz w:val="32"/>
          <w:szCs w:val="32"/>
        </w:rPr>
        <w:t>严格落实包案制和信访法治化工作要求，院领导带头办理疑难复杂信访案件4件。全面落实“群众来信件件有回复”制度，接待群众来访32件次，受理涉法涉诉信访8件。认真贯彻落实宽严相济刑事司法政</w:t>
      </w:r>
      <w:r>
        <w:rPr>
          <w:rFonts w:hint="eastAsia" w:ascii="仿宋_GB2312" w:eastAsia="仿宋_GB2312" w:hAnsiTheme="minorHAnsi" w:cstheme="minorBidi"/>
          <w:kern w:val="2"/>
          <w:sz w:val="32"/>
          <w:szCs w:val="32"/>
        </w:rPr>
        <w:t>策，</w:t>
      </w:r>
      <w:r>
        <w:rPr>
          <w:rFonts w:hint="eastAsia" w:ascii="仿宋_GB2312" w:eastAsia="仿宋_GB2312"/>
          <w:sz w:val="32"/>
          <w:szCs w:val="32"/>
        </w:rPr>
        <w:t>探索建立“捕前过滤+赔偿保证金+刑事和解+认罪认罚+量刑建议”五位一体的诉前矛盾化解机制，依法</w:t>
      </w:r>
      <w:r>
        <w:rPr>
          <w:rFonts w:hint="eastAsia" w:ascii="仿宋_GB2312" w:eastAsia="仿宋_GB2312"/>
          <w:sz w:val="32"/>
        </w:rPr>
        <w:t>不批准逮捕56件105人</w:t>
      </w:r>
      <w:r>
        <w:rPr>
          <w:rFonts w:ascii="仿宋_GB2312" w:eastAsia="仿宋_GB2312"/>
          <w:sz w:val="32"/>
        </w:rPr>
        <w:t>，</w:t>
      </w:r>
      <w:r>
        <w:rPr>
          <w:rFonts w:hint="eastAsia" w:ascii="仿宋_GB2312" w:eastAsia="仿宋_GB2312"/>
          <w:sz w:val="32"/>
        </w:rPr>
        <w:t>不起诉162件183人，</w:t>
      </w:r>
      <w:r>
        <w:rPr>
          <w:rFonts w:hint="eastAsia" w:ascii="仿宋_GB2312" w:eastAsia="仿宋_GB2312"/>
          <w:sz w:val="32"/>
          <w:szCs w:val="32"/>
        </w:rPr>
        <w:t>不捕率、不诉率分别为44.7%和34.6%，“推行赔偿保证金制度，着力提升捕诉质效”工作经验在全市作典型发言。对因婚姻、家庭、邻里矛盾引发的轻微刑事案件，依法促成刑事和解6件，以“调”促“和”解纷工作法被省</w:t>
      </w:r>
      <w:r>
        <w:rPr>
          <w:rFonts w:hint="eastAsia" w:ascii="仿宋_GB2312" w:eastAsia="仿宋_GB2312" w:hAnsiTheme="minorHAnsi" w:cstheme="minorBidi"/>
          <w:kern w:val="2"/>
          <w:sz w:val="32"/>
          <w:szCs w:val="32"/>
        </w:rPr>
        <w:t>委政法委评为“枫桥式”工作法，并在全省予以推广。作为全省检察机关唯一上榜单位，获评河北省新时代“枫桥经验”先进典型。</w:t>
      </w:r>
    </w:p>
    <w:p w14:paraId="73F800A6">
      <w:pPr>
        <w:spacing w:line="560" w:lineRule="exact"/>
        <w:ind w:firstLine="643" w:firstLineChars="200"/>
        <w:rPr>
          <w:rFonts w:ascii="仿宋_GB2312" w:eastAsia="仿宋_GB2312"/>
          <w:sz w:val="32"/>
          <w:szCs w:val="32"/>
        </w:rPr>
      </w:pPr>
      <w:r>
        <w:rPr>
          <w:rFonts w:hint="eastAsia" w:ascii="楷体_GB2312" w:eastAsia="楷体_GB2312"/>
          <w:b/>
          <w:sz w:val="32"/>
          <w:szCs w:val="32"/>
        </w:rPr>
        <w:t>二是做深做细未成年人综合保护。</w:t>
      </w:r>
      <w:r>
        <w:rPr>
          <w:rFonts w:hint="eastAsia" w:ascii="仿宋_GB2312" w:eastAsia="仿宋_GB2312"/>
          <w:sz w:val="32"/>
          <w:szCs w:val="32"/>
        </w:rPr>
        <w:t>零容忍”从严打击侵害未成年人犯罪，批准逮捕10件11人，提起公诉18件22人；办理刑事附带民事案件1件、民事支持起诉1件；对涉罪未成年人贯彻“教育、感化、挽救”方针，依法不批捕14件22人，不起诉1件1人，附条件不起诉4件5人；办理未成年人行政公益诉讼综合履职案件8件，督促县烟草专卖局、市场监管局、教体局开展电子烟专项整治活动，针对托管中心非法经营、出租车司机利用职业便利实施严重危害未成年人身心健康的行为，依法督促县相关部门履职；组织法治进校园巡讲活动13场，发放法治宣传资料3000余份，有效提高学生自护意识和自护能力。“让未检阳</w:t>
      </w:r>
      <w:r>
        <w:rPr>
          <w:rFonts w:hint="eastAsia" w:ascii="仿宋_GB2312" w:eastAsia="仿宋_GB2312"/>
          <w:sz w:val="32"/>
          <w:szCs w:val="32"/>
          <w:lang w:eastAsia="zh-CN"/>
        </w:rPr>
        <w:t>光</w:t>
      </w:r>
      <w:r>
        <w:rPr>
          <w:rFonts w:hint="eastAsia" w:ascii="仿宋_GB2312" w:eastAsia="仿宋_GB2312"/>
          <w:sz w:val="32"/>
          <w:szCs w:val="32"/>
        </w:rPr>
        <w:t>洒满成长之路”演讲获全市擂台赛第三名。</w:t>
      </w:r>
    </w:p>
    <w:p w14:paraId="79FF22B7">
      <w:pPr>
        <w:spacing w:line="560" w:lineRule="exact"/>
        <w:ind w:firstLine="643" w:firstLineChars="200"/>
        <w:rPr>
          <w:rFonts w:ascii="仿宋_GB2312" w:hAnsi="仿宋_GB2312" w:eastAsia="仿宋_GB2312" w:cs="仿宋_GB2312"/>
          <w:sz w:val="32"/>
          <w:szCs w:val="40"/>
        </w:rPr>
      </w:pPr>
      <w:r>
        <w:rPr>
          <w:rFonts w:hint="eastAsia" w:ascii="楷体_GB2312" w:eastAsia="楷体_GB2312"/>
          <w:b/>
          <w:sz w:val="32"/>
          <w:szCs w:val="32"/>
        </w:rPr>
        <w:t>三是依法守护群众合法权益。</w:t>
      </w:r>
      <w:r>
        <w:rPr>
          <w:rFonts w:ascii="仿宋_GB2312" w:hAnsi="仿宋_GB2312" w:eastAsia="仿宋_GB2312" w:cs="仿宋_GB2312"/>
          <w:sz w:val="32"/>
          <w:szCs w:val="40"/>
        </w:rPr>
        <w:t>聚焦食品药品安全</w:t>
      </w:r>
      <w:r>
        <w:rPr>
          <w:rFonts w:hint="eastAsia" w:ascii="仿宋_GB2312" w:hAnsi="仿宋_GB2312" w:eastAsia="仿宋_GB2312" w:cs="仿宋_GB2312"/>
          <w:sz w:val="32"/>
          <w:szCs w:val="40"/>
        </w:rPr>
        <w:t>、</w:t>
      </w:r>
      <w:r>
        <w:rPr>
          <w:rFonts w:ascii="仿宋_GB2312" w:hAnsi="仿宋_GB2312" w:eastAsia="仿宋_GB2312" w:cs="仿宋_GB2312"/>
          <w:sz w:val="32"/>
          <w:szCs w:val="40"/>
        </w:rPr>
        <w:t>环境保护等民生领域</w:t>
      </w:r>
      <w:r>
        <w:rPr>
          <w:rFonts w:hint="eastAsia" w:ascii="仿宋_GB2312" w:hAnsi="仿宋_GB2312" w:eastAsia="仿宋_GB2312" w:cs="仿宋_GB2312"/>
          <w:sz w:val="32"/>
          <w:szCs w:val="40"/>
        </w:rPr>
        <w:t>，依法起诉制售有毒有害食品、假药劣药等犯罪4件6人，起诉破坏环境资源类犯罪2件2人。坚持“应救尽救”原则，依法办理司法救助案件27件,发放司法救助金12.75万元；组织干警深入帮扶村191户贫困户</w:t>
      </w:r>
      <w:r>
        <w:rPr>
          <w:rFonts w:ascii="仿宋_GB2312" w:hAnsi="仿宋_GB2312" w:eastAsia="仿宋_GB2312" w:cs="仿宋_GB2312"/>
          <w:sz w:val="32"/>
          <w:szCs w:val="40"/>
        </w:rPr>
        <w:t>开展走访帮扶</w:t>
      </w:r>
      <w:r>
        <w:rPr>
          <w:rFonts w:hint="eastAsia" w:ascii="仿宋_GB2312" w:hAnsi="仿宋_GB2312" w:eastAsia="仿宋_GB2312" w:cs="仿宋_GB2312"/>
          <w:sz w:val="32"/>
          <w:szCs w:val="40"/>
        </w:rPr>
        <w:t>，及时解决群众的急难愁盼；</w:t>
      </w:r>
      <w:r>
        <w:rPr>
          <w:rFonts w:ascii="仿宋_GB2312" w:hAnsi="仿宋_GB2312" w:eastAsia="仿宋_GB2312" w:cs="仿宋_GB2312"/>
          <w:sz w:val="32"/>
          <w:szCs w:val="40"/>
        </w:rPr>
        <w:t>携手爱心企业开展捐资助学活动，</w:t>
      </w:r>
      <w:r>
        <w:rPr>
          <w:rFonts w:hint="eastAsia" w:ascii="仿宋_GB2312" w:hAnsi="仿宋_GB2312" w:eastAsia="仿宋_GB2312" w:cs="仿宋_GB2312"/>
          <w:sz w:val="32"/>
          <w:szCs w:val="40"/>
        </w:rPr>
        <w:t>为帮扶村10名在校学生</w:t>
      </w:r>
      <w:r>
        <w:rPr>
          <w:rFonts w:ascii="仿宋_GB2312" w:hAnsi="仿宋_GB2312" w:eastAsia="仿宋_GB2312" w:cs="仿宋_GB2312"/>
          <w:sz w:val="32"/>
          <w:szCs w:val="40"/>
        </w:rPr>
        <w:t>发放爱心助学金</w:t>
      </w:r>
      <w:r>
        <w:rPr>
          <w:rFonts w:hint="eastAsia" w:ascii="仿宋_GB2312" w:hAnsi="仿宋_GB2312" w:eastAsia="仿宋_GB2312" w:cs="仿宋_GB2312"/>
          <w:sz w:val="32"/>
          <w:szCs w:val="40"/>
        </w:rPr>
        <w:t>和书包、文具等学习用品。与县妇联共同加强妇女权益保障工作，研制多元帮扶方案，切实保障弱势群体的权益。</w:t>
      </w:r>
    </w:p>
    <w:p w14:paraId="0916DC60">
      <w:pPr>
        <w:widowControl/>
        <w:spacing w:line="560" w:lineRule="exact"/>
        <w:ind w:firstLine="640" w:firstLineChars="200"/>
        <w:rPr>
          <w:rFonts w:ascii="黑体" w:hAnsi="黑体" w:eastAsia="黑体" w:cs="仿宋_GB2312"/>
          <w:sz w:val="32"/>
          <w:szCs w:val="40"/>
        </w:rPr>
      </w:pPr>
      <w:r>
        <w:rPr>
          <w:rFonts w:hint="eastAsia" w:ascii="黑体" w:hAnsi="黑体" w:eastAsia="黑体" w:cs="仿宋_GB2312"/>
          <w:sz w:val="32"/>
          <w:szCs w:val="40"/>
        </w:rPr>
        <w:t>三、始终坚持为法治担当，在高质效办好每一起案件中履职主业、维护公正</w:t>
      </w:r>
    </w:p>
    <w:p w14:paraId="425621B4">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精准落实</w:t>
      </w:r>
      <w:r>
        <w:rPr>
          <w:rFonts w:ascii="仿宋_GB2312" w:hAnsi="仿宋_GB2312" w:eastAsia="仿宋_GB2312" w:cs="仿宋_GB2312"/>
          <w:sz w:val="32"/>
          <w:szCs w:val="40"/>
        </w:rPr>
        <w:t>“必须把坚持高质量发展作为新时代的硬道理”</w:t>
      </w:r>
      <w:r>
        <w:rPr>
          <w:rFonts w:hint="eastAsia" w:ascii="仿宋_GB2312" w:hAnsi="仿宋_GB2312" w:eastAsia="仿宋_GB2312" w:cs="仿宋_GB2312"/>
          <w:sz w:val="32"/>
          <w:szCs w:val="40"/>
        </w:rPr>
        <w:t>要求，坚持在办案中监督，在监督中办案，促进刑事、民事、行政、公益诉讼“四大检察”全面协调充分发展，努力让人民群众在每一个司法案件中感受到公平正义。</w:t>
      </w:r>
    </w:p>
    <w:p w14:paraId="575BE769">
      <w:pPr>
        <w:spacing w:line="560" w:lineRule="exact"/>
        <w:ind w:firstLine="643" w:firstLineChars="200"/>
        <w:rPr>
          <w:rFonts w:ascii="仿宋_GB2312" w:hAnsi="仿宋_GB2312" w:eastAsia="仿宋_GB2312" w:cs="仿宋_GB2312"/>
          <w:sz w:val="32"/>
          <w:szCs w:val="40"/>
        </w:rPr>
      </w:pPr>
      <w:r>
        <w:rPr>
          <w:rFonts w:hint="eastAsia" w:ascii="楷体_GB2312" w:hAnsi="仿宋_GB2312" w:eastAsia="楷体_GB2312" w:cs="仿宋_GB2312"/>
          <w:b/>
          <w:sz w:val="32"/>
          <w:szCs w:val="40"/>
        </w:rPr>
        <w:t>一是稳中求进做优刑事检察。</w:t>
      </w:r>
      <w:r>
        <w:rPr>
          <w:rFonts w:ascii="仿宋_GB2312" w:hAnsi="仿宋_GB2312" w:eastAsia="仿宋_GB2312" w:cs="仿宋_GB2312"/>
          <w:sz w:val="32"/>
          <w:szCs w:val="40"/>
        </w:rPr>
        <w:t>充分激发侦查监督与协作配合办公室效能，</w:t>
      </w:r>
      <w:r>
        <w:rPr>
          <w:rFonts w:hint="eastAsia" w:ascii="仿宋_GB2312" w:hAnsi="仿宋_GB2312" w:eastAsia="仿宋_GB2312" w:cs="仿宋_GB2312"/>
          <w:sz w:val="32"/>
          <w:szCs w:val="40"/>
        </w:rPr>
        <w:t>提前介入重大复杂案件13件，</w:t>
      </w:r>
      <w:r>
        <w:rPr>
          <w:rFonts w:ascii="仿宋_GB2312" w:hAnsi="仿宋_GB2312" w:eastAsia="仿宋_GB2312" w:cs="仿宋_GB2312"/>
          <w:sz w:val="32"/>
          <w:szCs w:val="40"/>
        </w:rPr>
        <w:t>监督立案</w:t>
      </w:r>
      <w:r>
        <w:rPr>
          <w:rFonts w:hint="eastAsia" w:ascii="仿宋_GB2312" w:hAnsi="仿宋_GB2312" w:eastAsia="仿宋_GB2312" w:cs="仿宋_GB2312"/>
          <w:sz w:val="32"/>
          <w:szCs w:val="40"/>
        </w:rPr>
        <w:t>30</w:t>
      </w:r>
      <w:r>
        <w:rPr>
          <w:rFonts w:ascii="仿宋_GB2312" w:hAnsi="仿宋_GB2312" w:eastAsia="仿宋_GB2312" w:cs="仿宋_GB2312"/>
          <w:sz w:val="32"/>
          <w:szCs w:val="40"/>
        </w:rPr>
        <w:t>件，监督撤案4件，依法追捕3人、追诉29人；向法院发出书面纠正违法3件次，提出二审抗诉案件1件，提请审判监督程序抗诉1件；《行刑衔接环节不容忽视》被</w:t>
      </w:r>
      <w:r>
        <w:rPr>
          <w:rFonts w:hint="eastAsia" w:ascii="仿宋_GB2312" w:hAnsi="仿宋_GB2312" w:eastAsia="仿宋_GB2312" w:cs="仿宋_GB2312"/>
          <w:sz w:val="32"/>
          <w:szCs w:val="40"/>
        </w:rPr>
        <w:t>最高检官网和</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法治</w:t>
      </w:r>
      <w:r>
        <w:rPr>
          <w:rFonts w:ascii="仿宋_GB2312" w:hAnsi="仿宋_GB2312" w:eastAsia="仿宋_GB2312" w:cs="仿宋_GB2312"/>
          <w:sz w:val="32"/>
          <w:szCs w:val="40"/>
        </w:rPr>
        <w:t>日报》</w:t>
      </w:r>
      <w:r>
        <w:rPr>
          <w:rFonts w:hint="eastAsia" w:ascii="仿宋_GB2312" w:hAnsi="仿宋_GB2312" w:eastAsia="仿宋_GB2312" w:cs="仿宋_GB2312"/>
          <w:sz w:val="32"/>
          <w:szCs w:val="40"/>
        </w:rPr>
        <w:t>报道</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办理暂予监外执行提请审查案件1件、收监执行审查案件1件，对刑罚执行和监管活动中的违法情况提出书面纠正意见42份、检察建议2份，对监外执行和社区矫正监管活动的监督、提出书面纠正意见23份，办理了市院指定司法人员职务犯罪侦查案件1件，1件财产刑执行检察案件获全省精品案例。</w:t>
      </w:r>
    </w:p>
    <w:p w14:paraId="1455E121">
      <w:pPr>
        <w:spacing w:line="560" w:lineRule="exact"/>
        <w:ind w:firstLine="803" w:firstLineChars="250"/>
        <w:rPr>
          <w:rFonts w:ascii="仿宋_GB2312" w:hAnsi="仿宋_GB2312" w:eastAsia="仿宋_GB2312" w:cs="仿宋_GB2312"/>
          <w:sz w:val="32"/>
          <w:szCs w:val="32"/>
        </w:rPr>
      </w:pPr>
      <w:r>
        <w:rPr>
          <w:rFonts w:hint="eastAsia" w:ascii="楷体_GB2312" w:hAnsi="仿宋_GB2312" w:eastAsia="楷体_GB2312" w:cs="仿宋_GB2312"/>
          <w:b/>
          <w:sz w:val="32"/>
          <w:szCs w:val="40"/>
        </w:rPr>
        <w:t>二是高质高效做深民事行政检察。</w:t>
      </w:r>
      <w:r>
        <w:rPr>
          <w:rFonts w:hint="eastAsia" w:ascii="仿宋_GB2312" w:eastAsia="仿宋_GB2312"/>
          <w:color w:val="000000"/>
          <w:sz w:val="32"/>
          <w:szCs w:val="32"/>
          <w:shd w:val="clear" w:color="auto" w:fill="FFFFFF"/>
        </w:rPr>
        <w:t>加强对民事生效裁判、审判和执行活动全流程监督，办理民事</w:t>
      </w:r>
      <w:r>
        <w:rPr>
          <w:rFonts w:hint="eastAsia" w:ascii="仿宋_GB2312" w:hAnsi="仿宋_GB2312" w:eastAsia="仿宋_GB2312" w:cs="仿宋_GB2312"/>
          <w:sz w:val="32"/>
          <w:szCs w:val="32"/>
        </w:rPr>
        <w:t>检察监督案件15件，其中包括</w:t>
      </w:r>
      <w:r>
        <w:rPr>
          <w:rFonts w:hint="eastAsia" w:ascii="仿宋_GB2312" w:eastAsia="仿宋_GB2312"/>
          <w:color w:val="000000"/>
          <w:sz w:val="32"/>
          <w:szCs w:val="32"/>
          <w:shd w:val="clear" w:color="auto" w:fill="FFFFFF"/>
        </w:rPr>
        <w:t>民事审判程序违法监督案件2件、民事执行监督案件3件、民事跟进</w:t>
      </w:r>
      <w:r>
        <w:rPr>
          <w:rFonts w:hint="eastAsia" w:ascii="仿宋_GB2312" w:hAnsi="仿宋_GB2312" w:eastAsia="仿宋_GB2312" w:cs="仿宋_GB2312"/>
          <w:sz w:val="32"/>
          <w:szCs w:val="32"/>
        </w:rPr>
        <w:t>监督案件1件、民事类案监督案件1件、民事生效裁判监督案件3件和2件民事公益诉讼支持起诉案件；</w:t>
      </w:r>
      <w:r>
        <w:rPr>
          <w:rFonts w:ascii="仿宋_GB2312" w:hAnsi="仿宋_GB2312" w:eastAsia="仿宋_GB2312" w:cs="仿宋_GB2312"/>
          <w:sz w:val="32"/>
          <w:szCs w:val="32"/>
        </w:rPr>
        <w:t>发挥行政检察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一手托两家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职能作用，</w:t>
      </w:r>
      <w:r>
        <w:rPr>
          <w:rFonts w:hint="eastAsia" w:ascii="仿宋_GB2312" w:hAnsi="仿宋_GB2312" w:eastAsia="仿宋_GB2312" w:cs="仿宋_GB2312"/>
          <w:sz w:val="32"/>
          <w:szCs w:val="32"/>
        </w:rPr>
        <w:t>办理各类行政检察监督案件20件，其中受理行政生效裁判监督案件4件，1件提出再审检察建议并且法院裁定再审，另3件已向相关行政机关发出检察建议，回复率100%。落实行刑反向衔接机制，针对不起诉决定后应当给予行政处罚的案件，依法向相关行政机关制发检察建议，有效提升行政执法规范化水平。</w:t>
      </w:r>
    </w:p>
    <w:p w14:paraId="688464DF">
      <w:pPr>
        <w:spacing w:line="54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40"/>
        </w:rPr>
        <w:t>三是创新突破做亮公益诉讼检察。</w:t>
      </w:r>
      <w:r>
        <w:rPr>
          <w:rFonts w:hint="eastAsia" w:ascii="仿宋_GB2312" w:hAnsi="仿宋_GB2312" w:eastAsia="仿宋_GB2312" w:cs="仿宋_GB2312"/>
          <w:sz w:val="32"/>
          <w:szCs w:val="40"/>
        </w:rPr>
        <w:t>在全市率先筹建公益诉讼指挥中心，并在全省指挥中心建设推进会上作典型发言。强化线索排查实战运用，办理公益诉讼案件52件，成功办理了公益诉讼检察工作开展以来我院首例行政公益诉讼起诉案件。按照省市院部署，扎实推进“燕赵山海·公益检察”护航美丽河北建设，围绕大气、水、土壤环境和生态资源“四个领域”，依托大数据智能化应用平台、“益心为公”志愿者、“随手拍”等形式</w:t>
      </w:r>
      <w:r>
        <w:rPr>
          <w:rFonts w:hint="eastAsia" w:ascii="仿宋_GB2312" w:hAnsi="仿宋_GB2312" w:eastAsia="仿宋_GB2312" w:cs="仿宋_GB2312"/>
          <w:sz w:val="32"/>
          <w:szCs w:val="32"/>
        </w:rPr>
        <w:t>排查发现案件线索47件，</w:t>
      </w:r>
      <w:r>
        <w:rPr>
          <w:rFonts w:hint="eastAsia" w:ascii="仿宋_GB2312" w:eastAsia="仿宋_GB2312"/>
          <w:sz w:val="32"/>
          <w:szCs w:val="32"/>
        </w:rPr>
        <w:t>立案26件</w:t>
      </w:r>
      <w:r>
        <w:rPr>
          <w:rFonts w:hint="eastAsia" w:ascii="仿宋_GB2312" w:hAnsi="仿宋_GB2312" w:eastAsia="仿宋_GB2312" w:cs="仿宋_GB2312"/>
          <w:sz w:val="32"/>
          <w:szCs w:val="40"/>
        </w:rPr>
        <w:t>，实现了“四个领域”全覆盖，</w:t>
      </w:r>
      <w:r>
        <w:rPr>
          <w:rFonts w:hint="eastAsia" w:ascii="仿宋_GB2312" w:eastAsia="仿宋_GB2312"/>
          <w:sz w:val="32"/>
          <w:szCs w:val="32"/>
        </w:rPr>
        <w:t>1件案件获最高检典型案例、4件获省级典型案例。被评为</w:t>
      </w:r>
      <w:r>
        <w:rPr>
          <w:rFonts w:hint="eastAsia" w:ascii="仿宋_GB2312" w:hAnsi="仿宋_GB2312" w:eastAsia="仿宋_GB2312" w:cs="仿宋_GB2312"/>
          <w:sz w:val="32"/>
          <w:szCs w:val="40"/>
        </w:rPr>
        <w:t>“燕赵山海·公益检察”护航美丽河北建设专项监督先进集体。</w:t>
      </w:r>
    </w:p>
    <w:p w14:paraId="4A83E53F">
      <w:pPr>
        <w:spacing w:line="560" w:lineRule="exact"/>
        <w:ind w:firstLine="800" w:firstLineChars="250"/>
        <w:rPr>
          <w:rFonts w:ascii="黑体" w:hAnsi="黑体" w:eastAsia="黑体"/>
          <w:color w:val="222222"/>
          <w:sz w:val="32"/>
          <w:szCs w:val="32"/>
          <w:shd w:val="clear" w:color="auto" w:fill="FFFFFF"/>
        </w:rPr>
      </w:pPr>
      <w:r>
        <w:rPr>
          <w:rFonts w:hint="eastAsia" w:ascii="黑体" w:hAnsi="黑体" w:eastAsia="黑体"/>
          <w:color w:val="222222"/>
          <w:sz w:val="32"/>
          <w:szCs w:val="32"/>
          <w:shd w:val="clear" w:color="auto" w:fill="FFFFFF"/>
        </w:rPr>
        <w:t>四、始终坚持全面从严治检，在锻造堪当重任检察铁军中固本强基、行稳致远</w:t>
      </w:r>
    </w:p>
    <w:p w14:paraId="4CC87B05">
      <w:pPr>
        <w:spacing w:line="560" w:lineRule="exact"/>
        <w:ind w:firstLine="640" w:firstLineChars="200"/>
        <w:rPr>
          <w:rFonts w:ascii="仿宋_GB2312" w:hAnsi="仿宋_GB2312" w:eastAsia="仿宋_GB2312" w:cs="仿宋_GB2312"/>
          <w:sz w:val="32"/>
          <w:szCs w:val="32"/>
        </w:rPr>
      </w:pPr>
      <w:r>
        <w:rPr>
          <w:rFonts w:hint="eastAsia" w:ascii="仿宋_GB2312" w:eastAsia="仿宋_GB2312"/>
          <w:color w:val="000000"/>
          <w:sz w:val="32"/>
          <w:szCs w:val="32"/>
          <w:shd w:val="clear" w:color="auto" w:fill="FFFFFF"/>
        </w:rPr>
        <w:t>以党的建设为统领，以检察业务全面创优为基础，加强思想淬炼、政治历练、实践锻炼、专业训练，用严管厚爱激励干警奋发作为，努力打造让党放心、人民满意的检察队伍。</w:t>
      </w:r>
    </w:p>
    <w:p w14:paraId="257C02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6"/>
        <w:jc w:val="both"/>
        <w:textAlignment w:val="baseline"/>
        <w:rPr>
          <w:rFonts w:ascii="仿宋_GB2312" w:eastAsia="仿宋_GB2312"/>
          <w:sz w:val="32"/>
          <w:szCs w:val="32"/>
        </w:rPr>
      </w:pPr>
      <w:r>
        <w:rPr>
          <w:rFonts w:hint="eastAsia" w:ascii="楷体_GB2312" w:hAnsi="楷体" w:eastAsia="楷体_GB2312"/>
          <w:b/>
          <w:color w:val="000000"/>
          <w:sz w:val="32"/>
          <w:szCs w:val="32"/>
        </w:rPr>
        <w:t>一是旗帜鲜明推进政治建设。</w:t>
      </w:r>
      <w:r>
        <w:rPr>
          <w:rFonts w:hint="eastAsia" w:ascii="仿宋_GB2312" w:hAnsi="微软雅黑" w:eastAsia="仿宋_GB2312"/>
          <w:color w:val="000000"/>
          <w:sz w:val="32"/>
          <w:szCs w:val="32"/>
        </w:rPr>
        <w:t>始终</w:t>
      </w:r>
      <w:r>
        <w:rPr>
          <w:rFonts w:ascii="仿宋_GB2312" w:hAnsi="微软雅黑" w:eastAsia="仿宋_GB2312"/>
          <w:color w:val="000000"/>
          <w:sz w:val="32"/>
          <w:szCs w:val="32"/>
        </w:rPr>
        <w:t>坚持党对检察工作的绝对领导,</w:t>
      </w:r>
      <w:r>
        <w:rPr>
          <w:rFonts w:hint="eastAsia" w:ascii="仿宋_GB2312" w:hAnsi="微软雅黑" w:eastAsia="仿宋_GB2312"/>
          <w:color w:val="000000"/>
          <w:sz w:val="32"/>
          <w:szCs w:val="32"/>
        </w:rPr>
        <w:t>认真贯彻</w:t>
      </w:r>
      <w:r>
        <w:rPr>
          <w:rFonts w:ascii="仿宋_GB2312" w:hAnsi="微软雅黑" w:eastAsia="仿宋_GB2312"/>
          <w:color w:val="000000"/>
          <w:sz w:val="32"/>
          <w:szCs w:val="32"/>
        </w:rPr>
        <w:t>司法</w:t>
      </w:r>
      <w:r>
        <w:rPr>
          <w:rFonts w:hint="eastAsia" w:ascii="仿宋_GB2312" w:hAnsi="微软雅黑" w:eastAsia="仿宋_GB2312"/>
          <w:color w:val="000000"/>
          <w:sz w:val="32"/>
          <w:szCs w:val="32"/>
        </w:rPr>
        <w:t>新</w:t>
      </w:r>
      <w:r>
        <w:rPr>
          <w:rFonts w:ascii="仿宋_GB2312" w:hAnsi="微软雅黑" w:eastAsia="仿宋_GB2312"/>
          <w:color w:val="000000"/>
          <w:sz w:val="32"/>
          <w:szCs w:val="32"/>
        </w:rPr>
        <w:t>理念, 依法能动履职</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确保检察工作正确政治方向</w:t>
      </w:r>
      <w:r>
        <w:rPr>
          <w:rFonts w:hint="eastAsia" w:ascii="仿宋_GB2312" w:hAnsi="微软雅黑" w:eastAsia="仿宋_GB2312"/>
          <w:color w:val="000000"/>
          <w:sz w:val="32"/>
          <w:szCs w:val="32"/>
        </w:rPr>
        <w:t>。深入学习贯彻党的二十大精神，开展全覆盖式政治轮训，深刻领悟“两个确立”的决定性意义，增强“四个意识”、坚定“四个自信”、做到“两个维护”。扎实开展习近平新时代</w:t>
      </w:r>
      <w:r>
        <w:rPr>
          <w:rFonts w:hint="eastAsia" w:ascii="仿宋_GB2312" w:eastAsia="仿宋_GB2312"/>
          <w:sz w:val="32"/>
          <w:szCs w:val="32"/>
        </w:rPr>
        <w:t>中国特色社会主义思想主体教育，</w:t>
      </w:r>
      <w:r>
        <w:rPr>
          <w:rFonts w:hint="eastAsia" w:ascii="仿宋_GB2312" w:hAnsi="微软雅黑" w:eastAsia="仿宋_GB2312"/>
          <w:color w:val="000000"/>
          <w:sz w:val="32"/>
          <w:szCs w:val="32"/>
        </w:rPr>
        <w:t>紧紧围绕“学思想、强党性、重实</w:t>
      </w:r>
      <w:r>
        <w:rPr>
          <w:rFonts w:hint="eastAsia" w:ascii="仿宋_GB2312" w:eastAsia="仿宋_GB2312"/>
          <w:sz w:val="32"/>
          <w:szCs w:val="32"/>
        </w:rPr>
        <w:t>践、建新功”的总要求，认真落实“第一议题”制度，组织</w:t>
      </w:r>
      <w:r>
        <w:rPr>
          <w:rFonts w:hint="eastAsia" w:ascii="仿宋_GB2312" w:hAnsi="仿宋_GB2312" w:eastAsia="仿宋_GB2312" w:cs="仿宋_GB2312"/>
          <w:sz w:val="32"/>
          <w:szCs w:val="32"/>
        </w:rPr>
        <w:t>开展交流研讨4次、专题党课2次，</w:t>
      </w:r>
      <w:r>
        <w:rPr>
          <w:rFonts w:hint="eastAsia" w:ascii="仿宋_GB2312" w:hAnsi="微软雅黑" w:eastAsia="仿宋_GB2312"/>
          <w:color w:val="000000"/>
          <w:sz w:val="32"/>
          <w:szCs w:val="32"/>
        </w:rPr>
        <w:t>坚决把党中央重大决策，省市县委和上级院部署不折不扣执行和落实到位。认真落实重大事项报告制度，主动向县委常委会专题汇报公益诉讼监督工作。</w:t>
      </w:r>
    </w:p>
    <w:p w14:paraId="1515120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6"/>
        <w:jc w:val="both"/>
        <w:textAlignment w:val="baseline"/>
        <w:rPr>
          <w:rFonts w:ascii="仿宋_GB2312" w:eastAsia="仿宋_GB2312"/>
          <w:sz w:val="32"/>
          <w:szCs w:val="32"/>
        </w:rPr>
      </w:pPr>
      <w:r>
        <w:rPr>
          <w:rFonts w:hint="eastAsia" w:ascii="楷体_GB2312" w:hAnsi="楷体" w:eastAsia="楷体_GB2312"/>
          <w:b/>
          <w:color w:val="000000"/>
          <w:sz w:val="32"/>
          <w:szCs w:val="32"/>
        </w:rPr>
        <w:t>二是持之以恒强化素能建设。</w:t>
      </w:r>
      <w:r>
        <w:rPr>
          <w:rFonts w:hint="eastAsia" w:ascii="仿宋_GB2312" w:eastAsia="仿宋_GB2312"/>
          <w:sz w:val="32"/>
          <w:szCs w:val="32"/>
        </w:rPr>
        <w:t>组织参加上级院业务培训50余人次，举办政治理论学习15场次；强化人才培养，3名干警入选全市“青英计划”人才库，4名青年业务骨干提拔到中层岗位，1名员额检察官完成市院遴选，15名干警获市县荣誉；团支部被团市委授予“五四红旗团支部”荣誉称号，党支部被县委评为“先进基层党组织”；紧盯检察核心业务数据和案件质效，建立了“专班联合审查、日常跟进督办、定期研判沟通”的工作机制，逐案盯，常态抓，业务数据整体向好。全市创新亮点成果实现“五项内容”全覆盖。</w:t>
      </w:r>
    </w:p>
    <w:p w14:paraId="421809AA">
      <w:pPr>
        <w:tabs>
          <w:tab w:val="left" w:pos="651"/>
        </w:tabs>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宋体"/>
          <w:b/>
          <w:color w:val="000000"/>
          <w:kern w:val="0"/>
          <w:sz w:val="32"/>
          <w:szCs w:val="32"/>
        </w:rPr>
        <w:t>三是自觉主动接受社会监督。</w:t>
      </w:r>
      <w:r>
        <w:rPr>
          <w:rFonts w:hint="eastAsia" w:ascii="仿宋_GB2312" w:hAnsi="仿宋_GB2312" w:eastAsia="仿宋_GB2312" w:cs="仿宋_GB2312"/>
          <w:sz w:val="32"/>
          <w:szCs w:val="32"/>
        </w:rPr>
        <w:t>始终秉持“监督者更要自觉接受监督”理念，积极向县人大及其常委会专题汇报工作；强化</w:t>
      </w:r>
      <w:r>
        <w:rPr>
          <w:rFonts w:ascii="仿宋_GB2312" w:hAnsi="仿宋_GB2312" w:eastAsia="仿宋_GB2312" w:cs="仿宋_GB2312"/>
          <w:sz w:val="32"/>
          <w:szCs w:val="32"/>
        </w:rPr>
        <w:t>人大代表联络工作，</w:t>
      </w:r>
      <w:r>
        <w:rPr>
          <w:rFonts w:hint="eastAsia" w:ascii="仿宋_GB2312" w:hAnsi="仿宋_GB2312" w:eastAsia="仿宋_GB2312" w:cs="仿宋_GB2312"/>
          <w:sz w:val="32"/>
          <w:szCs w:val="32"/>
        </w:rPr>
        <w:t>院领导主动上门走访代表委员42人次，实现全覆盖；邀请人大代表、政协委员、听证员等参加检察开放日、公开听证、案件现场评议等活动180余人次；常态化邀请人民监督员参与法律文书专</w:t>
      </w:r>
      <w:r>
        <w:rPr>
          <w:rFonts w:hint="eastAsia" w:ascii="仿宋_GB2312" w:eastAsia="仿宋_GB2312"/>
          <w:sz w:val="32"/>
          <w:szCs w:val="32"/>
        </w:rPr>
        <w:t>项评查，工作情况被最高检工作专栏刊发；</w:t>
      </w:r>
      <w:r>
        <w:rPr>
          <w:rFonts w:hint="eastAsia" w:ascii="仿宋_GB2312" w:hAnsi="仿宋_GB2312" w:eastAsia="仿宋_GB2312" w:cs="仿宋_GB2312"/>
          <w:sz w:val="32"/>
          <w:szCs w:val="32"/>
        </w:rPr>
        <w:t>被高检院、省市院刊发信息、简报、调研28篇，检察日报采用4篇，其中头版1篇，法治日报2篇，其他省级以上网络媒体80余篇，微视频《当我穿过这片草原》被河北电视台专题报道，微电影《与你同行》获全省检察机关“三微”作品大赛三等奖，公益诉讼应用案例被高检院推荐参评检察新媒体精品。</w:t>
      </w:r>
    </w:p>
    <w:p w14:paraId="1B30AC76">
      <w:pPr>
        <w:spacing w:line="53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四是驰而不息推进正风肃纪。</w:t>
      </w:r>
      <w:r>
        <w:rPr>
          <w:rFonts w:hint="eastAsia" w:ascii="仿宋_GB2312" w:hAnsi="仿宋_GB2312" w:eastAsia="仿宋_GB2312" w:cs="仿宋_GB2312"/>
          <w:sz w:val="32"/>
          <w:szCs w:val="32"/>
        </w:rPr>
        <w:t>压实从严治检主体责任，锲而不舍落实中央八项规定精神，严格执行“三个规定”记录报告制度，筑牢公正司法的防线；贯彻遵守“十个严禁”，开展检务督察和警示教育活动6次，持续推进作风建设向纵深发展。深入贯彻落实“三找”要求，查摆检视主要问题4项，全部整改到位。院领导带头办理疑难复杂案件28件，“头雁效应”有效激发；制定并完善人员分类绩效考核办法和特色亮点工作奖励办法，干警干事创业热情得到有效激发，机关效能得到进一步提升。</w:t>
      </w:r>
    </w:p>
    <w:p w14:paraId="26D0682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位代表，回顾一年来的工作，我们深知，检察工作取得的成绩和进步，是党委领导,人大监督，政府、政协和社会各界、各位代表和委员、广大人民群众关心支持的结果。在此，我代表县人民检察院全体干警表示衷心的感谢和崇高的敬意！</w:t>
      </w:r>
    </w:p>
    <w:p w14:paraId="765A369D">
      <w:pPr>
        <w:spacing w:line="560" w:lineRule="exact"/>
        <w:ind w:firstLine="640" w:firstLineChars="200"/>
        <w:rPr>
          <w:rFonts w:ascii="仿宋_GB2312" w:eastAsia="仿宋_GB2312" w:cs="Times New Roman"/>
          <w:sz w:val="32"/>
          <w:szCs w:val="32"/>
        </w:rPr>
      </w:pPr>
      <w:r>
        <w:rPr>
          <w:rFonts w:hint="eastAsia" w:ascii="仿宋_GB2312" w:hAnsi="仿宋" w:eastAsia="仿宋_GB2312"/>
          <w:sz w:val="32"/>
          <w:szCs w:val="32"/>
        </w:rPr>
        <w:t>看到成绩的同时，我们清醒地认识到存在的不足和差距：一是办案质效还需进一步提升。还有个别业务数据指标成效不够明显,需要持续用力、抓紧抓实。二是依法能动履职的能力还需进一步提高。表现在服务保障法治化营商环境的针对性、实效性不够强，司法为民举措还需持续做细做实。三是法律监督</w:t>
      </w:r>
      <w:r>
        <w:rPr>
          <w:rFonts w:hint="eastAsia" w:ascii="仿宋_GB2312" w:eastAsia="仿宋_GB2312" w:cs="Times New Roman"/>
          <w:sz w:val="32"/>
          <w:szCs w:val="32"/>
        </w:rPr>
        <w:t>职能发挥还需进一步加强。敢于监督的意识不够、善于监督的方法不多、履行监督的法律手段不足等。</w:t>
      </w:r>
    </w:p>
    <w:p w14:paraId="036A6975">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2024年工作安排</w:t>
      </w:r>
    </w:p>
    <w:p w14:paraId="40FEAD15">
      <w:pPr>
        <w:spacing w:line="560" w:lineRule="exact"/>
        <w:jc w:val="left"/>
        <w:rPr>
          <w:rFonts w:ascii="仿宋_GB2312" w:eastAsia="仿宋_GB2312" w:cs="Times New Roman"/>
          <w:sz w:val="32"/>
          <w:szCs w:val="32"/>
        </w:rPr>
      </w:pPr>
      <w:r>
        <w:rPr>
          <w:rFonts w:hint="eastAsia" w:ascii="仿宋_GB2312" w:eastAsia="仿宋_GB2312" w:cs="Times New Roman"/>
          <w:sz w:val="32"/>
          <w:szCs w:val="32"/>
        </w:rPr>
        <w:t xml:space="preserve">    2024年，</w:t>
      </w:r>
      <w:r>
        <w:rPr>
          <w:rFonts w:ascii="仿宋_GB2312" w:eastAsia="仿宋_GB2312" w:cs="Times New Roman"/>
          <w:sz w:val="32"/>
          <w:szCs w:val="32"/>
        </w:rPr>
        <w:t xml:space="preserve"> </w:t>
      </w:r>
      <w:r>
        <w:rPr>
          <w:rFonts w:hint="eastAsia" w:ascii="仿宋_GB2312" w:eastAsia="仿宋_GB2312" w:cs="Times New Roman"/>
          <w:sz w:val="32"/>
          <w:szCs w:val="32"/>
        </w:rPr>
        <w:t>我院将坚持不懈用习近平新时代中国特色社会主义思想凝心铸魂，深入贯彻习近平法治思想，全面落实党的二十大精神，认真落实上级检察院和县委各项决策部署，紧紧围绕全县“1146”总体工作思路，锚定 “争一流、当冠军”工作目标，依法能动履行法律监督职能，为全力推动张北高质量发展和现代化建设提供坚强有力的法治保障。</w:t>
      </w:r>
    </w:p>
    <w:p w14:paraId="1746D3B7">
      <w:pPr>
        <w:keepNext w:val="0"/>
        <w:keepLines w:val="0"/>
        <w:pageBreakBefore w:val="0"/>
        <w:widowControl w:val="0"/>
        <w:kinsoku/>
        <w:wordWrap/>
        <w:overflowPunct/>
        <w:topLinePunct w:val="0"/>
        <w:autoSpaceDE/>
        <w:autoSpaceDN/>
        <w:bidi w:val="0"/>
        <w:adjustRightInd/>
        <w:snapToGrid/>
        <w:ind w:firstLine="630" w:firstLineChars="196"/>
        <w:textAlignment w:val="auto"/>
        <w:rPr>
          <w:rFonts w:ascii="Arial" w:hAnsi="Arial" w:eastAsia="宋体" w:cs="Arial"/>
          <w:color w:val="333333"/>
          <w:kern w:val="0"/>
          <w:sz w:val="20"/>
          <w:szCs w:val="20"/>
        </w:rPr>
      </w:pPr>
      <w:r>
        <w:rPr>
          <w:rFonts w:hint="eastAsia" w:ascii="楷体_GB2312" w:eastAsia="楷体_GB2312"/>
          <w:b/>
          <w:sz w:val="32"/>
          <w:szCs w:val="32"/>
        </w:rPr>
        <w:t>一是聚焦政治建检，强化使命担当，在筑牢政治忠诚上彰显新气象。</w:t>
      </w:r>
      <w:r>
        <w:rPr>
          <w:rFonts w:hint="eastAsia" w:ascii="仿宋_GB2312" w:hAnsi="仿宋" w:eastAsia="仿宋_GB2312"/>
          <w:sz w:val="32"/>
          <w:szCs w:val="32"/>
        </w:rPr>
        <w:t>坚持把党的政治建设放在首位，始终坚持以习近平新时代中国特色社会主</w:t>
      </w:r>
      <w:r>
        <w:rPr>
          <w:rFonts w:hint="eastAsia" w:ascii="仿宋_GB2312" w:eastAsia="仿宋_GB2312" w:cs="Times New Roman"/>
          <w:sz w:val="32"/>
          <w:szCs w:val="32"/>
        </w:rPr>
        <w:t>义思想为指导，坚定捍卫“两个确立”，坚决做到“两个维护”，把党的绝对领导</w:t>
      </w:r>
      <w:r>
        <w:rPr>
          <w:rFonts w:ascii="仿宋_GB2312" w:eastAsia="仿宋_GB2312" w:cs="Times New Roman"/>
          <w:sz w:val="32"/>
          <w:szCs w:val="32"/>
        </w:rPr>
        <w:t>落实到检察工作各环节、全过程。</w:t>
      </w:r>
      <w:r>
        <w:rPr>
          <w:rFonts w:hint="eastAsia" w:ascii="仿宋_GB2312" w:eastAsia="仿宋_GB2312" w:cs="Times New Roman"/>
          <w:sz w:val="32"/>
          <w:szCs w:val="32"/>
        </w:rPr>
        <w:t>持续巩固拓展主题教育成果，教育引导检察人员自觉做到从政治上着眼、从法治上着力，把讲政治落实到检察履职、监督办案各方面全过程，</w:t>
      </w:r>
      <w:r>
        <w:rPr>
          <w:rFonts w:hint="eastAsia" w:ascii="仿宋_GB2312" w:hAnsi="仿宋" w:eastAsia="仿宋_GB2312"/>
          <w:sz w:val="32"/>
          <w:szCs w:val="32"/>
        </w:rPr>
        <w:t>推动政治建设与业务建设深度融合。</w:t>
      </w:r>
    </w:p>
    <w:p w14:paraId="2EF2D065">
      <w:pPr>
        <w:spacing w:line="560" w:lineRule="exact"/>
        <w:ind w:firstLine="643" w:firstLineChars="200"/>
        <w:jc w:val="left"/>
        <w:rPr>
          <w:rFonts w:ascii="仿宋_GB2312" w:eastAsia="仿宋_GB2312" w:cs="Times New Roman"/>
          <w:sz w:val="32"/>
          <w:szCs w:val="32"/>
        </w:rPr>
      </w:pPr>
      <w:r>
        <w:rPr>
          <w:rFonts w:hint="eastAsia" w:ascii="楷体_GB2312" w:eastAsia="楷体_GB2312"/>
          <w:b/>
          <w:sz w:val="32"/>
          <w:szCs w:val="32"/>
        </w:rPr>
        <w:t>二是把握发展大势，依法能动履职，在服务大局上展现新作为。</w:t>
      </w:r>
      <w:r>
        <w:rPr>
          <w:rFonts w:hint="eastAsia" w:ascii="仿宋_GB2312" w:eastAsia="仿宋_GB2312" w:cs="Times New Roman"/>
          <w:sz w:val="32"/>
          <w:szCs w:val="32"/>
        </w:rPr>
        <w:t>按照最高检应勇检察长提出的“</w:t>
      </w:r>
      <w:r>
        <w:rPr>
          <w:rFonts w:ascii="仿宋_GB2312" w:eastAsia="仿宋_GB2312" w:cs="Times New Roman"/>
          <w:sz w:val="32"/>
          <w:szCs w:val="32"/>
        </w:rPr>
        <w:t>党的中心工作推动到哪里</w:t>
      </w:r>
      <w:r>
        <w:rPr>
          <w:rFonts w:hint="eastAsia" w:ascii="仿宋_GB2312" w:eastAsia="仿宋_GB2312" w:cs="Times New Roman"/>
          <w:sz w:val="32"/>
          <w:szCs w:val="32"/>
        </w:rPr>
        <w:t>，</w:t>
      </w:r>
      <w:r>
        <w:rPr>
          <w:rFonts w:ascii="仿宋_GB2312" w:eastAsia="仿宋_GB2312" w:cs="Times New Roman"/>
          <w:sz w:val="32"/>
          <w:szCs w:val="32"/>
        </w:rPr>
        <w:t>检察工作就要跟进到哪里</w:t>
      </w:r>
      <w:r>
        <w:rPr>
          <w:rFonts w:hint="eastAsia" w:ascii="仿宋_GB2312" w:eastAsia="仿宋_GB2312" w:cs="Times New Roman"/>
          <w:sz w:val="32"/>
          <w:szCs w:val="32"/>
        </w:rPr>
        <w:t>”要求，自觉将检察工作融入全县工作大局，持续优化法治化营商环境，</w:t>
      </w:r>
      <w:bookmarkStart w:id="0" w:name="_GoBack"/>
      <w:bookmarkEnd w:id="0"/>
      <w:r>
        <w:rPr>
          <w:rFonts w:hint="eastAsia" w:ascii="仿宋_GB2312" w:eastAsia="仿宋_GB2312" w:cs="Times New Roman"/>
          <w:sz w:val="32"/>
          <w:szCs w:val="32"/>
        </w:rPr>
        <w:t xml:space="preserve">深化知识产权综合司法保护。建立健全“府检联动”机制，持续深化“检察监督+行政执法”协作机制，以更大合力服务保障法治政府建设， </w:t>
      </w:r>
    </w:p>
    <w:p w14:paraId="42A616EF">
      <w:pPr>
        <w:pStyle w:val="8"/>
        <w:spacing w:before="0" w:beforeAutospacing="0" w:after="0" w:afterAutospacing="0" w:line="560" w:lineRule="exact"/>
        <w:ind w:firstLine="643" w:firstLineChars="200"/>
        <w:rPr>
          <w:rFonts w:ascii="仿宋_GB2312" w:eastAsia="仿宋_GB2312" w:cs="Times New Roman" w:hAnsiTheme="minorHAnsi"/>
          <w:kern w:val="2"/>
          <w:sz w:val="32"/>
          <w:szCs w:val="32"/>
        </w:rPr>
      </w:pPr>
      <w:r>
        <w:rPr>
          <w:rFonts w:hint="eastAsia" w:ascii="楷体_GB2312" w:eastAsia="楷体_GB2312"/>
          <w:b/>
          <w:sz w:val="32"/>
          <w:szCs w:val="32"/>
        </w:rPr>
        <w:t>三是坚持人民至上，倾心守护民生，在践行司法为民上体现新担当。</w:t>
      </w:r>
      <w:r>
        <w:rPr>
          <w:rFonts w:ascii="仿宋_GB2312" w:eastAsia="仿宋_GB2312" w:cs="Times New Roman" w:hAnsiTheme="minorHAnsi"/>
          <w:kern w:val="2"/>
          <w:sz w:val="32"/>
          <w:szCs w:val="32"/>
        </w:rPr>
        <w:t>常态化推进扫黑除恶斗争，依法严厉打击各类刑事犯罪，深化诉源治理，有力维护社会安全稳定。做好检察为民实事，</w:t>
      </w:r>
      <w:r>
        <w:rPr>
          <w:rFonts w:hint="eastAsia" w:ascii="仿宋_GB2312" w:eastAsia="仿宋_GB2312" w:cs="Times New Roman" w:hAnsiTheme="minorHAnsi"/>
          <w:kern w:val="2"/>
          <w:sz w:val="32"/>
          <w:szCs w:val="32"/>
        </w:rPr>
        <w:t>强化老年人、妇女儿童、残疾人等特殊群体权益保护。开展食品药品安全专项监督，保障“舌尖上的安全”。</w:t>
      </w:r>
      <w:r>
        <w:rPr>
          <w:rFonts w:ascii="仿宋_GB2312" w:eastAsia="仿宋_GB2312" w:cs="Times New Roman" w:hAnsiTheme="minorHAnsi"/>
          <w:kern w:val="2"/>
          <w:sz w:val="32"/>
          <w:szCs w:val="32"/>
        </w:rPr>
        <w:t>深入开展司法救助、公开听证、支持起诉等工作，用心用情用力办好群众信访案件，进一步提升信访工作法治化水平，不断增强人民群众的获得感、幸福感、安全感。</w:t>
      </w:r>
    </w:p>
    <w:p w14:paraId="6A0A1AC2">
      <w:pPr>
        <w:spacing w:line="560" w:lineRule="exact"/>
        <w:ind w:firstLine="643" w:firstLineChars="200"/>
        <w:rPr>
          <w:rFonts w:ascii="仿宋_GB2312" w:eastAsia="仿宋_GB2312" w:cs="Times New Roman"/>
          <w:sz w:val="32"/>
          <w:szCs w:val="32"/>
        </w:rPr>
      </w:pPr>
      <w:r>
        <w:rPr>
          <w:rFonts w:hint="eastAsia" w:ascii="楷体_GB2312" w:eastAsia="楷体_GB2312"/>
          <w:b/>
          <w:sz w:val="32"/>
          <w:szCs w:val="32"/>
        </w:rPr>
        <w:t>四是深耕主责主业，提升监督水平，在强化法律监督上取得新成效。</w:t>
      </w:r>
      <w:r>
        <w:rPr>
          <w:rFonts w:hint="eastAsia" w:ascii="仿宋_GB2312" w:eastAsia="仿宋_GB2312" w:cs="Times New Roman"/>
          <w:sz w:val="32"/>
          <w:szCs w:val="32"/>
        </w:rPr>
        <w:t>让“高质效办好每一个案件”成为检察履职办案的基本价值追求，坚持办案质量、效率与公平正义的有机统一。加强刑事立案、侦查、审判和刑罚执行活动监督，健全完善侦查监督与协作配合机制。强化对民事、行政诉讼活动监督，依法惩防虚假诉讼，做实做细行刑双向衔接和行政争议实质性化解。加大公益诉讼检察办案力度，聚焦重点领域，依法能动履职，</w:t>
      </w:r>
      <w:r>
        <w:rPr>
          <w:rFonts w:ascii="仿宋_GB2312" w:eastAsia="仿宋_GB2312" w:cs="Times New Roman"/>
          <w:sz w:val="32"/>
          <w:szCs w:val="32"/>
        </w:rPr>
        <w:t>以高质效公益诉讼服务县域经济社会高质量发展。</w:t>
      </w:r>
      <w:r>
        <w:rPr>
          <w:rFonts w:hint="eastAsia" w:ascii="仿宋_GB2312" w:eastAsia="仿宋_GB2312" w:cs="Times New Roman"/>
          <w:sz w:val="32"/>
          <w:szCs w:val="32"/>
        </w:rPr>
        <w:t>大力推进数字检察工作，为法律监督赋能增效。</w:t>
      </w:r>
    </w:p>
    <w:p w14:paraId="2FC4653E">
      <w:pPr>
        <w:spacing w:line="560" w:lineRule="exact"/>
        <w:ind w:firstLine="643" w:firstLineChars="200"/>
        <w:rPr>
          <w:rFonts w:ascii="仿宋_GB2312" w:eastAsia="仿宋_GB2312" w:cs="Times New Roman"/>
          <w:b/>
          <w:bCs/>
          <w:sz w:val="32"/>
          <w:szCs w:val="32"/>
        </w:rPr>
      </w:pPr>
      <w:r>
        <w:rPr>
          <w:rFonts w:hint="eastAsia" w:ascii="楷体_GB2312" w:eastAsia="楷体_GB2312" w:cs="Times New Roman"/>
          <w:b/>
          <w:sz w:val="32"/>
          <w:szCs w:val="32"/>
        </w:rPr>
        <w:t>五是优化检察管理，勇于自我革命，在锻造过硬队伍上呈现新面貌。</w:t>
      </w:r>
      <w:r>
        <w:rPr>
          <w:rFonts w:hint="eastAsia" w:ascii="仿宋_GB2312" w:eastAsia="仿宋_GB2312" w:cs="Times New Roman"/>
          <w:sz w:val="32"/>
          <w:szCs w:val="32"/>
        </w:rPr>
        <w:t>坚持全面从严管党治检，夯实主体责任和监督责任。持续抓好“三个规定”落实，深化检务公开，自觉接受监督，健全检察权运行内部监督制约机制，强化纪律作风建设。坚持人才强检战略，拿出以“敢于同先进比高下，在横向比较中拿高分”的精气神，以创建检察品牌为引领，以对标先进、争创一流为驱动，以教育学习培训、实战练兵为抓手，全面提升检察履职能力，努力锻造一支忠诚干净担当的新时代检察铁军。</w:t>
      </w:r>
    </w:p>
    <w:p w14:paraId="0D9BC3DA">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各位代表！初心如磐践使命，踔厉奋发启新程。新的一年，张北县人民检察院在市检察院和县委的坚强领导下，认真贯彻落实本次大会决议，坚定扛起落实党中央决策和省市县委工作要求的政治责任，扛起为大局服务、为人民司法的法治责任，扛起加强法律监督工作的检察责任，团结奋进、务实笃行，为奋力谱写张北发展新篇章贡献检察力量。</w:t>
      </w:r>
    </w:p>
    <w:p w14:paraId="7C68081F">
      <w:pPr>
        <w:spacing w:line="560" w:lineRule="exact"/>
        <w:ind w:firstLine="640" w:firstLineChars="200"/>
        <w:rPr>
          <w:rFonts w:ascii="仿宋_GB2312" w:eastAsia="仿宋_GB2312" w:cs="Times New Roman"/>
          <w:sz w:val="32"/>
          <w:szCs w:val="32"/>
        </w:rPr>
      </w:pPr>
    </w:p>
    <w:p w14:paraId="1D42B20C">
      <w:pPr>
        <w:spacing w:line="560" w:lineRule="exact"/>
        <w:ind w:firstLine="640" w:firstLineChars="200"/>
        <w:rPr>
          <w:rFonts w:ascii="仿宋_GB2312" w:eastAsia="仿宋_GB2312" w:cs="Times New Roman"/>
          <w:sz w:val="32"/>
          <w:szCs w:val="32"/>
        </w:rPr>
      </w:pPr>
    </w:p>
    <w:p w14:paraId="76F28B08">
      <w:pPr>
        <w:spacing w:line="560" w:lineRule="exact"/>
        <w:rPr>
          <w:rFonts w:ascii="仿宋_GB2312" w:eastAsia="仿宋_GB2312" w:cs="Times New Roman"/>
          <w:sz w:val="32"/>
          <w:szCs w:val="32"/>
        </w:rPr>
      </w:pPr>
    </w:p>
    <w:p w14:paraId="1C5C6CEC">
      <w:pPr>
        <w:spacing w:line="560" w:lineRule="exact"/>
        <w:ind w:firstLine="640" w:firstLineChars="200"/>
        <w:rPr>
          <w:rFonts w:ascii="仿宋_GB2312" w:eastAsia="仿宋_GB2312" w:cs="Times New Roman"/>
          <w:sz w:val="32"/>
          <w:szCs w:val="32"/>
        </w:rPr>
      </w:pPr>
    </w:p>
    <w:p w14:paraId="6AB4E03B">
      <w:pPr>
        <w:spacing w:line="560" w:lineRule="exact"/>
        <w:rPr>
          <w:rFonts w:ascii="仿宋_GB2312" w:eastAsia="仿宋_GB2312" w:cs="Times New Roman"/>
          <w:sz w:val="32"/>
          <w:szCs w:val="32"/>
        </w:rPr>
      </w:pPr>
    </w:p>
    <w:sectPr>
      <w:footerReference r:id="rId3" w:type="default"/>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迷你简小标宋">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鼎CS楷体">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5359"/>
      <w:docPartObj>
        <w:docPartGallery w:val="autotext"/>
      </w:docPartObj>
    </w:sdtPr>
    <w:sdtContent>
      <w:p w14:paraId="59A3A4DA">
        <w:pPr>
          <w:pStyle w:val="6"/>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4B46912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ZmNmMmI5N2M2NDNkODIwODViYzIxMzI0MTA0MWMifQ=="/>
  </w:docVars>
  <w:rsids>
    <w:rsidRoot w:val="00537D19"/>
    <w:rsid w:val="0000368C"/>
    <w:rsid w:val="00006CA0"/>
    <w:rsid w:val="00012514"/>
    <w:rsid w:val="00015AA7"/>
    <w:rsid w:val="00015CAE"/>
    <w:rsid w:val="000230F0"/>
    <w:rsid w:val="0002785D"/>
    <w:rsid w:val="000325EC"/>
    <w:rsid w:val="0003438D"/>
    <w:rsid w:val="000362F6"/>
    <w:rsid w:val="0004029A"/>
    <w:rsid w:val="00042623"/>
    <w:rsid w:val="00044752"/>
    <w:rsid w:val="00052A7D"/>
    <w:rsid w:val="00060FB9"/>
    <w:rsid w:val="00064681"/>
    <w:rsid w:val="00075832"/>
    <w:rsid w:val="0007775E"/>
    <w:rsid w:val="000860D8"/>
    <w:rsid w:val="0008621D"/>
    <w:rsid w:val="0009058F"/>
    <w:rsid w:val="00094B58"/>
    <w:rsid w:val="00094FCA"/>
    <w:rsid w:val="00095B87"/>
    <w:rsid w:val="000A2CA6"/>
    <w:rsid w:val="000A69D1"/>
    <w:rsid w:val="000B28FB"/>
    <w:rsid w:val="000B4F89"/>
    <w:rsid w:val="000B6A70"/>
    <w:rsid w:val="000C1A57"/>
    <w:rsid w:val="000C4DB8"/>
    <w:rsid w:val="000C69B1"/>
    <w:rsid w:val="000D00DC"/>
    <w:rsid w:val="000D059D"/>
    <w:rsid w:val="000D0B06"/>
    <w:rsid w:val="000D0D5F"/>
    <w:rsid w:val="000D2E93"/>
    <w:rsid w:val="000D6830"/>
    <w:rsid w:val="000E4292"/>
    <w:rsid w:val="000E6646"/>
    <w:rsid w:val="000E6C7C"/>
    <w:rsid w:val="000F3799"/>
    <w:rsid w:val="000F399C"/>
    <w:rsid w:val="000F3B67"/>
    <w:rsid w:val="000F4767"/>
    <w:rsid w:val="000F4819"/>
    <w:rsid w:val="001001EC"/>
    <w:rsid w:val="00105849"/>
    <w:rsid w:val="0011005F"/>
    <w:rsid w:val="001100A1"/>
    <w:rsid w:val="001115AD"/>
    <w:rsid w:val="001119D9"/>
    <w:rsid w:val="001149EB"/>
    <w:rsid w:val="001229DE"/>
    <w:rsid w:val="00122C1D"/>
    <w:rsid w:val="001237BC"/>
    <w:rsid w:val="00123BF0"/>
    <w:rsid w:val="001243EE"/>
    <w:rsid w:val="0012521F"/>
    <w:rsid w:val="001273C2"/>
    <w:rsid w:val="001278E6"/>
    <w:rsid w:val="00133C5B"/>
    <w:rsid w:val="001341CC"/>
    <w:rsid w:val="001345D2"/>
    <w:rsid w:val="00135324"/>
    <w:rsid w:val="00140ADB"/>
    <w:rsid w:val="00140B52"/>
    <w:rsid w:val="00142AEC"/>
    <w:rsid w:val="001479D3"/>
    <w:rsid w:val="001510E0"/>
    <w:rsid w:val="001542F3"/>
    <w:rsid w:val="00161F99"/>
    <w:rsid w:val="00162F6C"/>
    <w:rsid w:val="001630AF"/>
    <w:rsid w:val="001666D0"/>
    <w:rsid w:val="001672AE"/>
    <w:rsid w:val="00174337"/>
    <w:rsid w:val="00177C06"/>
    <w:rsid w:val="0018210F"/>
    <w:rsid w:val="00183C73"/>
    <w:rsid w:val="00184AFC"/>
    <w:rsid w:val="001852AC"/>
    <w:rsid w:val="00185DF3"/>
    <w:rsid w:val="0018637D"/>
    <w:rsid w:val="00186C06"/>
    <w:rsid w:val="00186C86"/>
    <w:rsid w:val="00187824"/>
    <w:rsid w:val="00194632"/>
    <w:rsid w:val="00195C64"/>
    <w:rsid w:val="001A1193"/>
    <w:rsid w:val="001A57A0"/>
    <w:rsid w:val="001B17E8"/>
    <w:rsid w:val="001B3BF4"/>
    <w:rsid w:val="001B6569"/>
    <w:rsid w:val="001B73A8"/>
    <w:rsid w:val="001C0ADD"/>
    <w:rsid w:val="001C48BC"/>
    <w:rsid w:val="001C4BB1"/>
    <w:rsid w:val="001C4DC5"/>
    <w:rsid w:val="001C7125"/>
    <w:rsid w:val="001C79B6"/>
    <w:rsid w:val="001D2C80"/>
    <w:rsid w:val="001D434D"/>
    <w:rsid w:val="001D7E2E"/>
    <w:rsid w:val="001E074E"/>
    <w:rsid w:val="001E5533"/>
    <w:rsid w:val="001E6678"/>
    <w:rsid w:val="002003C4"/>
    <w:rsid w:val="00200B62"/>
    <w:rsid w:val="002036E8"/>
    <w:rsid w:val="0020559D"/>
    <w:rsid w:val="00205E37"/>
    <w:rsid w:val="00206F47"/>
    <w:rsid w:val="00211003"/>
    <w:rsid w:val="002166F0"/>
    <w:rsid w:val="00216A9C"/>
    <w:rsid w:val="002178F9"/>
    <w:rsid w:val="00221250"/>
    <w:rsid w:val="00225AF9"/>
    <w:rsid w:val="00230F50"/>
    <w:rsid w:val="00232C6C"/>
    <w:rsid w:val="00233841"/>
    <w:rsid w:val="00234805"/>
    <w:rsid w:val="0023613D"/>
    <w:rsid w:val="002367AF"/>
    <w:rsid w:val="00237CAE"/>
    <w:rsid w:val="0024147A"/>
    <w:rsid w:val="002423B9"/>
    <w:rsid w:val="0024291F"/>
    <w:rsid w:val="00242E23"/>
    <w:rsid w:val="00246563"/>
    <w:rsid w:val="0024714B"/>
    <w:rsid w:val="002475E7"/>
    <w:rsid w:val="00264813"/>
    <w:rsid w:val="00264A31"/>
    <w:rsid w:val="00266FBE"/>
    <w:rsid w:val="0027113E"/>
    <w:rsid w:val="00272A1B"/>
    <w:rsid w:val="00274364"/>
    <w:rsid w:val="00281ABD"/>
    <w:rsid w:val="0028220B"/>
    <w:rsid w:val="00282D67"/>
    <w:rsid w:val="00285E4F"/>
    <w:rsid w:val="002956AF"/>
    <w:rsid w:val="002A018D"/>
    <w:rsid w:val="002A68F5"/>
    <w:rsid w:val="002A7532"/>
    <w:rsid w:val="002B26B0"/>
    <w:rsid w:val="002C1926"/>
    <w:rsid w:val="002C617E"/>
    <w:rsid w:val="002D03DD"/>
    <w:rsid w:val="002D3A98"/>
    <w:rsid w:val="002D444E"/>
    <w:rsid w:val="002E7B8D"/>
    <w:rsid w:val="002E7E39"/>
    <w:rsid w:val="002F3205"/>
    <w:rsid w:val="002F61E3"/>
    <w:rsid w:val="0030314E"/>
    <w:rsid w:val="00307BCA"/>
    <w:rsid w:val="00311549"/>
    <w:rsid w:val="003167D6"/>
    <w:rsid w:val="00317167"/>
    <w:rsid w:val="0032408C"/>
    <w:rsid w:val="00327DAB"/>
    <w:rsid w:val="00331365"/>
    <w:rsid w:val="00333921"/>
    <w:rsid w:val="00336DAA"/>
    <w:rsid w:val="00336E64"/>
    <w:rsid w:val="00344C75"/>
    <w:rsid w:val="00346115"/>
    <w:rsid w:val="00353F8F"/>
    <w:rsid w:val="0035658A"/>
    <w:rsid w:val="0036088C"/>
    <w:rsid w:val="003609C2"/>
    <w:rsid w:val="003619CD"/>
    <w:rsid w:val="003647C0"/>
    <w:rsid w:val="0036556F"/>
    <w:rsid w:val="00366064"/>
    <w:rsid w:val="003660F0"/>
    <w:rsid w:val="003662A3"/>
    <w:rsid w:val="0037164F"/>
    <w:rsid w:val="00372016"/>
    <w:rsid w:val="0037452F"/>
    <w:rsid w:val="0037796B"/>
    <w:rsid w:val="003812A7"/>
    <w:rsid w:val="00391827"/>
    <w:rsid w:val="00394E0E"/>
    <w:rsid w:val="00395EEF"/>
    <w:rsid w:val="00397B6B"/>
    <w:rsid w:val="00397FE0"/>
    <w:rsid w:val="003A091E"/>
    <w:rsid w:val="003B07B0"/>
    <w:rsid w:val="003B2ED9"/>
    <w:rsid w:val="003B45F2"/>
    <w:rsid w:val="003B5EF6"/>
    <w:rsid w:val="003B68BE"/>
    <w:rsid w:val="003D4EE3"/>
    <w:rsid w:val="003E084B"/>
    <w:rsid w:val="003E680B"/>
    <w:rsid w:val="003E69FE"/>
    <w:rsid w:val="003F17C5"/>
    <w:rsid w:val="003F22AF"/>
    <w:rsid w:val="003F5119"/>
    <w:rsid w:val="003F69F9"/>
    <w:rsid w:val="003F70D5"/>
    <w:rsid w:val="00401CEE"/>
    <w:rsid w:val="00404D2E"/>
    <w:rsid w:val="00405143"/>
    <w:rsid w:val="00405D37"/>
    <w:rsid w:val="0040669D"/>
    <w:rsid w:val="00417179"/>
    <w:rsid w:val="00421DF8"/>
    <w:rsid w:val="00424FD8"/>
    <w:rsid w:val="004340F4"/>
    <w:rsid w:val="00434238"/>
    <w:rsid w:val="0045248F"/>
    <w:rsid w:val="00454BEE"/>
    <w:rsid w:val="00455603"/>
    <w:rsid w:val="00460FC7"/>
    <w:rsid w:val="00464570"/>
    <w:rsid w:val="00466786"/>
    <w:rsid w:val="00466E20"/>
    <w:rsid w:val="004770A7"/>
    <w:rsid w:val="004839C0"/>
    <w:rsid w:val="004867CF"/>
    <w:rsid w:val="004872DE"/>
    <w:rsid w:val="00492007"/>
    <w:rsid w:val="0049458B"/>
    <w:rsid w:val="00497699"/>
    <w:rsid w:val="004A4B72"/>
    <w:rsid w:val="004A6EE8"/>
    <w:rsid w:val="004B3713"/>
    <w:rsid w:val="004B3E2B"/>
    <w:rsid w:val="004B4C2F"/>
    <w:rsid w:val="004B51A8"/>
    <w:rsid w:val="004C3759"/>
    <w:rsid w:val="004C4B0E"/>
    <w:rsid w:val="004D28E4"/>
    <w:rsid w:val="004D3F12"/>
    <w:rsid w:val="004D7AB3"/>
    <w:rsid w:val="004E0582"/>
    <w:rsid w:val="004E4C26"/>
    <w:rsid w:val="004E4F2B"/>
    <w:rsid w:val="004E65D1"/>
    <w:rsid w:val="004F4458"/>
    <w:rsid w:val="004F57F8"/>
    <w:rsid w:val="004F69A1"/>
    <w:rsid w:val="004F7086"/>
    <w:rsid w:val="004F70AB"/>
    <w:rsid w:val="004F7D3F"/>
    <w:rsid w:val="005013CC"/>
    <w:rsid w:val="00501DEB"/>
    <w:rsid w:val="0050355C"/>
    <w:rsid w:val="00504C88"/>
    <w:rsid w:val="0051068F"/>
    <w:rsid w:val="00513578"/>
    <w:rsid w:val="00513784"/>
    <w:rsid w:val="00513D81"/>
    <w:rsid w:val="005170F4"/>
    <w:rsid w:val="00520D31"/>
    <w:rsid w:val="005223E1"/>
    <w:rsid w:val="00523E1F"/>
    <w:rsid w:val="00524A90"/>
    <w:rsid w:val="00531FE9"/>
    <w:rsid w:val="00537CD7"/>
    <w:rsid w:val="00537D19"/>
    <w:rsid w:val="00543BDC"/>
    <w:rsid w:val="00543EB4"/>
    <w:rsid w:val="00544806"/>
    <w:rsid w:val="0054582A"/>
    <w:rsid w:val="00547C01"/>
    <w:rsid w:val="00550807"/>
    <w:rsid w:val="00552D4F"/>
    <w:rsid w:val="005547A2"/>
    <w:rsid w:val="00554BAE"/>
    <w:rsid w:val="00557D81"/>
    <w:rsid w:val="0056116A"/>
    <w:rsid w:val="00562BD8"/>
    <w:rsid w:val="00564D0B"/>
    <w:rsid w:val="0056722C"/>
    <w:rsid w:val="005718A5"/>
    <w:rsid w:val="0057202D"/>
    <w:rsid w:val="005727D8"/>
    <w:rsid w:val="005736F5"/>
    <w:rsid w:val="00573729"/>
    <w:rsid w:val="00575C75"/>
    <w:rsid w:val="0057636F"/>
    <w:rsid w:val="0057728E"/>
    <w:rsid w:val="00582EE6"/>
    <w:rsid w:val="00584479"/>
    <w:rsid w:val="005856A9"/>
    <w:rsid w:val="005B2279"/>
    <w:rsid w:val="005B539B"/>
    <w:rsid w:val="005B77CD"/>
    <w:rsid w:val="005B7EE2"/>
    <w:rsid w:val="005C6018"/>
    <w:rsid w:val="005D164A"/>
    <w:rsid w:val="005D6A0C"/>
    <w:rsid w:val="005E17B7"/>
    <w:rsid w:val="005E1ED8"/>
    <w:rsid w:val="005E2406"/>
    <w:rsid w:val="005F1FF6"/>
    <w:rsid w:val="005F3EE2"/>
    <w:rsid w:val="005F5D9C"/>
    <w:rsid w:val="00601244"/>
    <w:rsid w:val="00602C4C"/>
    <w:rsid w:val="006156AD"/>
    <w:rsid w:val="0061628A"/>
    <w:rsid w:val="00622DA8"/>
    <w:rsid w:val="0063325E"/>
    <w:rsid w:val="00634A62"/>
    <w:rsid w:val="006354A6"/>
    <w:rsid w:val="00644AC1"/>
    <w:rsid w:val="006477A6"/>
    <w:rsid w:val="006502F8"/>
    <w:rsid w:val="00652ECE"/>
    <w:rsid w:val="00662058"/>
    <w:rsid w:val="00666425"/>
    <w:rsid w:val="00667153"/>
    <w:rsid w:val="00672399"/>
    <w:rsid w:val="00675112"/>
    <w:rsid w:val="00675139"/>
    <w:rsid w:val="0068401F"/>
    <w:rsid w:val="006916C3"/>
    <w:rsid w:val="0069535C"/>
    <w:rsid w:val="00696579"/>
    <w:rsid w:val="0069745B"/>
    <w:rsid w:val="006A05F2"/>
    <w:rsid w:val="006A34EB"/>
    <w:rsid w:val="006B043A"/>
    <w:rsid w:val="006B322E"/>
    <w:rsid w:val="006C1687"/>
    <w:rsid w:val="006D217E"/>
    <w:rsid w:val="006D23F2"/>
    <w:rsid w:val="006D79B1"/>
    <w:rsid w:val="006E19C7"/>
    <w:rsid w:val="006E3B2A"/>
    <w:rsid w:val="006E5ED0"/>
    <w:rsid w:val="006E7A4F"/>
    <w:rsid w:val="006F1031"/>
    <w:rsid w:val="006F3665"/>
    <w:rsid w:val="006F45FF"/>
    <w:rsid w:val="00704B30"/>
    <w:rsid w:val="00704B98"/>
    <w:rsid w:val="00713FD1"/>
    <w:rsid w:val="00721EFC"/>
    <w:rsid w:val="00722701"/>
    <w:rsid w:val="00723717"/>
    <w:rsid w:val="00730506"/>
    <w:rsid w:val="007314BC"/>
    <w:rsid w:val="00733BDD"/>
    <w:rsid w:val="007348B1"/>
    <w:rsid w:val="00734C72"/>
    <w:rsid w:val="00736FD6"/>
    <w:rsid w:val="007375C0"/>
    <w:rsid w:val="007402B3"/>
    <w:rsid w:val="00740AB9"/>
    <w:rsid w:val="00740FD9"/>
    <w:rsid w:val="00741899"/>
    <w:rsid w:val="007459E5"/>
    <w:rsid w:val="0075187C"/>
    <w:rsid w:val="00753538"/>
    <w:rsid w:val="00764805"/>
    <w:rsid w:val="00773421"/>
    <w:rsid w:val="007742BF"/>
    <w:rsid w:val="0078012C"/>
    <w:rsid w:val="007811E7"/>
    <w:rsid w:val="007821A5"/>
    <w:rsid w:val="00786EE6"/>
    <w:rsid w:val="007916EB"/>
    <w:rsid w:val="00793242"/>
    <w:rsid w:val="007A1297"/>
    <w:rsid w:val="007A2A35"/>
    <w:rsid w:val="007A5463"/>
    <w:rsid w:val="007B29FD"/>
    <w:rsid w:val="007B384A"/>
    <w:rsid w:val="007B5D02"/>
    <w:rsid w:val="007B7A1C"/>
    <w:rsid w:val="007C1A58"/>
    <w:rsid w:val="007C3A2E"/>
    <w:rsid w:val="007D3D9B"/>
    <w:rsid w:val="007D7D92"/>
    <w:rsid w:val="007F22BC"/>
    <w:rsid w:val="007F729F"/>
    <w:rsid w:val="008001F5"/>
    <w:rsid w:val="00803FD3"/>
    <w:rsid w:val="008059BF"/>
    <w:rsid w:val="0081070D"/>
    <w:rsid w:val="00814967"/>
    <w:rsid w:val="0082037F"/>
    <w:rsid w:val="008209BE"/>
    <w:rsid w:val="0082266B"/>
    <w:rsid w:val="008258EE"/>
    <w:rsid w:val="008271FE"/>
    <w:rsid w:val="00827417"/>
    <w:rsid w:val="00833F15"/>
    <w:rsid w:val="008349E9"/>
    <w:rsid w:val="008355FA"/>
    <w:rsid w:val="00836C6E"/>
    <w:rsid w:val="008373CC"/>
    <w:rsid w:val="00840FAD"/>
    <w:rsid w:val="00843FBF"/>
    <w:rsid w:val="0084548A"/>
    <w:rsid w:val="00852808"/>
    <w:rsid w:val="0085390E"/>
    <w:rsid w:val="00855D6A"/>
    <w:rsid w:val="00865EEA"/>
    <w:rsid w:val="0087373E"/>
    <w:rsid w:val="0087384B"/>
    <w:rsid w:val="00876570"/>
    <w:rsid w:val="008769F4"/>
    <w:rsid w:val="0088527B"/>
    <w:rsid w:val="00886D00"/>
    <w:rsid w:val="00887814"/>
    <w:rsid w:val="00893028"/>
    <w:rsid w:val="008944CE"/>
    <w:rsid w:val="00894EE4"/>
    <w:rsid w:val="00894FFD"/>
    <w:rsid w:val="00896C6C"/>
    <w:rsid w:val="008A106A"/>
    <w:rsid w:val="008A1CD2"/>
    <w:rsid w:val="008A36FD"/>
    <w:rsid w:val="008A4E64"/>
    <w:rsid w:val="008B0EAC"/>
    <w:rsid w:val="008B21DC"/>
    <w:rsid w:val="008B4D4E"/>
    <w:rsid w:val="008C00FF"/>
    <w:rsid w:val="008C0A06"/>
    <w:rsid w:val="008C432E"/>
    <w:rsid w:val="008C4389"/>
    <w:rsid w:val="008C54F0"/>
    <w:rsid w:val="008C5A37"/>
    <w:rsid w:val="008D0D60"/>
    <w:rsid w:val="008D11AF"/>
    <w:rsid w:val="008D172E"/>
    <w:rsid w:val="008D5E4A"/>
    <w:rsid w:val="008D6D4C"/>
    <w:rsid w:val="008E2B8A"/>
    <w:rsid w:val="008E2BDF"/>
    <w:rsid w:val="008E4F3D"/>
    <w:rsid w:val="008E75B7"/>
    <w:rsid w:val="008F06AC"/>
    <w:rsid w:val="008F16FB"/>
    <w:rsid w:val="008F3DE7"/>
    <w:rsid w:val="008F3FC8"/>
    <w:rsid w:val="008F46CA"/>
    <w:rsid w:val="0090320D"/>
    <w:rsid w:val="00910571"/>
    <w:rsid w:val="00910B49"/>
    <w:rsid w:val="009119F6"/>
    <w:rsid w:val="00913D67"/>
    <w:rsid w:val="00914826"/>
    <w:rsid w:val="009178C3"/>
    <w:rsid w:val="00920443"/>
    <w:rsid w:val="009217C0"/>
    <w:rsid w:val="0092420A"/>
    <w:rsid w:val="00925622"/>
    <w:rsid w:val="00925EF6"/>
    <w:rsid w:val="00930A63"/>
    <w:rsid w:val="00940464"/>
    <w:rsid w:val="00943331"/>
    <w:rsid w:val="00943F13"/>
    <w:rsid w:val="00946515"/>
    <w:rsid w:val="00946AE9"/>
    <w:rsid w:val="00947842"/>
    <w:rsid w:val="00947916"/>
    <w:rsid w:val="0095081F"/>
    <w:rsid w:val="00952D95"/>
    <w:rsid w:val="00953D65"/>
    <w:rsid w:val="00956173"/>
    <w:rsid w:val="00966084"/>
    <w:rsid w:val="00967461"/>
    <w:rsid w:val="0097110F"/>
    <w:rsid w:val="00971AC9"/>
    <w:rsid w:val="00971BAD"/>
    <w:rsid w:val="00973ABB"/>
    <w:rsid w:val="00985157"/>
    <w:rsid w:val="009871AA"/>
    <w:rsid w:val="00991A7B"/>
    <w:rsid w:val="00991C00"/>
    <w:rsid w:val="009962A0"/>
    <w:rsid w:val="009A751E"/>
    <w:rsid w:val="009C5A1A"/>
    <w:rsid w:val="009D0B60"/>
    <w:rsid w:val="009D1EA4"/>
    <w:rsid w:val="009D2258"/>
    <w:rsid w:val="009D3D51"/>
    <w:rsid w:val="009D4670"/>
    <w:rsid w:val="009E5DFA"/>
    <w:rsid w:val="009F2F4F"/>
    <w:rsid w:val="00A02AEE"/>
    <w:rsid w:val="00A10691"/>
    <w:rsid w:val="00A11674"/>
    <w:rsid w:val="00A1464A"/>
    <w:rsid w:val="00A2036D"/>
    <w:rsid w:val="00A24160"/>
    <w:rsid w:val="00A24247"/>
    <w:rsid w:val="00A31B02"/>
    <w:rsid w:val="00A33EED"/>
    <w:rsid w:val="00A35482"/>
    <w:rsid w:val="00A37CE1"/>
    <w:rsid w:val="00A4170A"/>
    <w:rsid w:val="00A46CFC"/>
    <w:rsid w:val="00A46FE1"/>
    <w:rsid w:val="00A60FB4"/>
    <w:rsid w:val="00A61D37"/>
    <w:rsid w:val="00A62013"/>
    <w:rsid w:val="00A62473"/>
    <w:rsid w:val="00A66F07"/>
    <w:rsid w:val="00A70B95"/>
    <w:rsid w:val="00A70EC3"/>
    <w:rsid w:val="00A76F00"/>
    <w:rsid w:val="00A776F9"/>
    <w:rsid w:val="00A77768"/>
    <w:rsid w:val="00A82108"/>
    <w:rsid w:val="00A83D6C"/>
    <w:rsid w:val="00A8465A"/>
    <w:rsid w:val="00A87D1D"/>
    <w:rsid w:val="00A91900"/>
    <w:rsid w:val="00A9382C"/>
    <w:rsid w:val="00A943DB"/>
    <w:rsid w:val="00A95EFD"/>
    <w:rsid w:val="00AA42FA"/>
    <w:rsid w:val="00AA5EF4"/>
    <w:rsid w:val="00AA69FD"/>
    <w:rsid w:val="00AB3FFC"/>
    <w:rsid w:val="00AC31AB"/>
    <w:rsid w:val="00AC63BF"/>
    <w:rsid w:val="00AC6EAC"/>
    <w:rsid w:val="00AC7EEB"/>
    <w:rsid w:val="00AD4BE5"/>
    <w:rsid w:val="00AD6AAF"/>
    <w:rsid w:val="00AD716D"/>
    <w:rsid w:val="00AE06A2"/>
    <w:rsid w:val="00AE30C6"/>
    <w:rsid w:val="00AE3588"/>
    <w:rsid w:val="00AF4AB6"/>
    <w:rsid w:val="00AF5DF4"/>
    <w:rsid w:val="00B03323"/>
    <w:rsid w:val="00B04600"/>
    <w:rsid w:val="00B0592C"/>
    <w:rsid w:val="00B10567"/>
    <w:rsid w:val="00B1096C"/>
    <w:rsid w:val="00B11F92"/>
    <w:rsid w:val="00B1444A"/>
    <w:rsid w:val="00B16A25"/>
    <w:rsid w:val="00B20A37"/>
    <w:rsid w:val="00B20C92"/>
    <w:rsid w:val="00B23214"/>
    <w:rsid w:val="00B2609E"/>
    <w:rsid w:val="00B34632"/>
    <w:rsid w:val="00B41261"/>
    <w:rsid w:val="00B42ACF"/>
    <w:rsid w:val="00B460E1"/>
    <w:rsid w:val="00B47E48"/>
    <w:rsid w:val="00B50749"/>
    <w:rsid w:val="00B518C4"/>
    <w:rsid w:val="00B51F42"/>
    <w:rsid w:val="00B53EC0"/>
    <w:rsid w:val="00B54EB7"/>
    <w:rsid w:val="00B569EB"/>
    <w:rsid w:val="00B5756E"/>
    <w:rsid w:val="00B62A7E"/>
    <w:rsid w:val="00B6309B"/>
    <w:rsid w:val="00B66701"/>
    <w:rsid w:val="00B66AED"/>
    <w:rsid w:val="00B70F09"/>
    <w:rsid w:val="00B71700"/>
    <w:rsid w:val="00B72D81"/>
    <w:rsid w:val="00B73E70"/>
    <w:rsid w:val="00B81E2D"/>
    <w:rsid w:val="00B91718"/>
    <w:rsid w:val="00B94392"/>
    <w:rsid w:val="00B94885"/>
    <w:rsid w:val="00BA0C1A"/>
    <w:rsid w:val="00BA2047"/>
    <w:rsid w:val="00BA4580"/>
    <w:rsid w:val="00BA459D"/>
    <w:rsid w:val="00BA4ECD"/>
    <w:rsid w:val="00BA5A68"/>
    <w:rsid w:val="00BB0655"/>
    <w:rsid w:val="00BB196E"/>
    <w:rsid w:val="00BB5D93"/>
    <w:rsid w:val="00BC1651"/>
    <w:rsid w:val="00BC66DB"/>
    <w:rsid w:val="00BD08E9"/>
    <w:rsid w:val="00BE0944"/>
    <w:rsid w:val="00BE1105"/>
    <w:rsid w:val="00BE2C32"/>
    <w:rsid w:val="00BE6997"/>
    <w:rsid w:val="00BE70D5"/>
    <w:rsid w:val="00BF04B4"/>
    <w:rsid w:val="00BF3D36"/>
    <w:rsid w:val="00C0289E"/>
    <w:rsid w:val="00C04B3F"/>
    <w:rsid w:val="00C05A17"/>
    <w:rsid w:val="00C064F8"/>
    <w:rsid w:val="00C10F38"/>
    <w:rsid w:val="00C16586"/>
    <w:rsid w:val="00C20174"/>
    <w:rsid w:val="00C209F1"/>
    <w:rsid w:val="00C20B06"/>
    <w:rsid w:val="00C2311D"/>
    <w:rsid w:val="00C320E4"/>
    <w:rsid w:val="00C411D2"/>
    <w:rsid w:val="00C54807"/>
    <w:rsid w:val="00C63A38"/>
    <w:rsid w:val="00C63A6A"/>
    <w:rsid w:val="00C66BC2"/>
    <w:rsid w:val="00C66FBB"/>
    <w:rsid w:val="00C729FA"/>
    <w:rsid w:val="00C74243"/>
    <w:rsid w:val="00C75BE1"/>
    <w:rsid w:val="00C84952"/>
    <w:rsid w:val="00C84C08"/>
    <w:rsid w:val="00C8582C"/>
    <w:rsid w:val="00C93F30"/>
    <w:rsid w:val="00C973C6"/>
    <w:rsid w:val="00CA3704"/>
    <w:rsid w:val="00CA76BB"/>
    <w:rsid w:val="00CB4C4C"/>
    <w:rsid w:val="00CB5C13"/>
    <w:rsid w:val="00CC481F"/>
    <w:rsid w:val="00CD2204"/>
    <w:rsid w:val="00CD4D5D"/>
    <w:rsid w:val="00CD5C04"/>
    <w:rsid w:val="00CE383C"/>
    <w:rsid w:val="00CE43FA"/>
    <w:rsid w:val="00CF0167"/>
    <w:rsid w:val="00CF5AC8"/>
    <w:rsid w:val="00CF7454"/>
    <w:rsid w:val="00D025FC"/>
    <w:rsid w:val="00D03902"/>
    <w:rsid w:val="00D11F43"/>
    <w:rsid w:val="00D13AF2"/>
    <w:rsid w:val="00D1564B"/>
    <w:rsid w:val="00D1593E"/>
    <w:rsid w:val="00D17B6B"/>
    <w:rsid w:val="00D22811"/>
    <w:rsid w:val="00D2451D"/>
    <w:rsid w:val="00D313E1"/>
    <w:rsid w:val="00D3270E"/>
    <w:rsid w:val="00D33731"/>
    <w:rsid w:val="00D36BCF"/>
    <w:rsid w:val="00D409D0"/>
    <w:rsid w:val="00D42121"/>
    <w:rsid w:val="00D428B8"/>
    <w:rsid w:val="00D50E86"/>
    <w:rsid w:val="00D52CB3"/>
    <w:rsid w:val="00D5318A"/>
    <w:rsid w:val="00D5497B"/>
    <w:rsid w:val="00D54E0E"/>
    <w:rsid w:val="00D552BB"/>
    <w:rsid w:val="00D563F2"/>
    <w:rsid w:val="00D57109"/>
    <w:rsid w:val="00D575D8"/>
    <w:rsid w:val="00D60E44"/>
    <w:rsid w:val="00D61B88"/>
    <w:rsid w:val="00D64614"/>
    <w:rsid w:val="00D70CE6"/>
    <w:rsid w:val="00D727E8"/>
    <w:rsid w:val="00D7486D"/>
    <w:rsid w:val="00D76602"/>
    <w:rsid w:val="00D77D2B"/>
    <w:rsid w:val="00D77FE6"/>
    <w:rsid w:val="00D86ED3"/>
    <w:rsid w:val="00D904D2"/>
    <w:rsid w:val="00D95362"/>
    <w:rsid w:val="00DA51FE"/>
    <w:rsid w:val="00DA7748"/>
    <w:rsid w:val="00DB01D5"/>
    <w:rsid w:val="00DB64BE"/>
    <w:rsid w:val="00DB7DBD"/>
    <w:rsid w:val="00DD7166"/>
    <w:rsid w:val="00DE03CC"/>
    <w:rsid w:val="00DE498D"/>
    <w:rsid w:val="00DE4E35"/>
    <w:rsid w:val="00DE7339"/>
    <w:rsid w:val="00DE7FF7"/>
    <w:rsid w:val="00E001FB"/>
    <w:rsid w:val="00E05EB2"/>
    <w:rsid w:val="00E06037"/>
    <w:rsid w:val="00E077C9"/>
    <w:rsid w:val="00E11010"/>
    <w:rsid w:val="00E11FA0"/>
    <w:rsid w:val="00E214C9"/>
    <w:rsid w:val="00E24760"/>
    <w:rsid w:val="00E2503C"/>
    <w:rsid w:val="00E26F3D"/>
    <w:rsid w:val="00E3107A"/>
    <w:rsid w:val="00E320A3"/>
    <w:rsid w:val="00E4140C"/>
    <w:rsid w:val="00E42DA1"/>
    <w:rsid w:val="00E44985"/>
    <w:rsid w:val="00E45416"/>
    <w:rsid w:val="00E5131D"/>
    <w:rsid w:val="00E553FE"/>
    <w:rsid w:val="00E555EB"/>
    <w:rsid w:val="00E60C18"/>
    <w:rsid w:val="00E61AA3"/>
    <w:rsid w:val="00E62F6E"/>
    <w:rsid w:val="00E63274"/>
    <w:rsid w:val="00E73784"/>
    <w:rsid w:val="00E74E9A"/>
    <w:rsid w:val="00E75558"/>
    <w:rsid w:val="00E75CA7"/>
    <w:rsid w:val="00E76427"/>
    <w:rsid w:val="00E76716"/>
    <w:rsid w:val="00E76AB3"/>
    <w:rsid w:val="00E86B76"/>
    <w:rsid w:val="00E94C54"/>
    <w:rsid w:val="00E96CE2"/>
    <w:rsid w:val="00EA0387"/>
    <w:rsid w:val="00EA1452"/>
    <w:rsid w:val="00EA21B1"/>
    <w:rsid w:val="00EA4F18"/>
    <w:rsid w:val="00EA6644"/>
    <w:rsid w:val="00EA6748"/>
    <w:rsid w:val="00EA6A8D"/>
    <w:rsid w:val="00EA72B2"/>
    <w:rsid w:val="00EB132A"/>
    <w:rsid w:val="00EB180B"/>
    <w:rsid w:val="00EC0A7D"/>
    <w:rsid w:val="00EC70E1"/>
    <w:rsid w:val="00ED7518"/>
    <w:rsid w:val="00ED7831"/>
    <w:rsid w:val="00EE166F"/>
    <w:rsid w:val="00EE403C"/>
    <w:rsid w:val="00EF65D1"/>
    <w:rsid w:val="00F00B12"/>
    <w:rsid w:val="00F02EA9"/>
    <w:rsid w:val="00F0447B"/>
    <w:rsid w:val="00F04FCB"/>
    <w:rsid w:val="00F15F10"/>
    <w:rsid w:val="00F1738A"/>
    <w:rsid w:val="00F212E9"/>
    <w:rsid w:val="00F25BAC"/>
    <w:rsid w:val="00F275E4"/>
    <w:rsid w:val="00F303C7"/>
    <w:rsid w:val="00F31449"/>
    <w:rsid w:val="00F33605"/>
    <w:rsid w:val="00F33C18"/>
    <w:rsid w:val="00F4007C"/>
    <w:rsid w:val="00F4298F"/>
    <w:rsid w:val="00F42F98"/>
    <w:rsid w:val="00F435E5"/>
    <w:rsid w:val="00F50D1B"/>
    <w:rsid w:val="00F516E1"/>
    <w:rsid w:val="00F52B2C"/>
    <w:rsid w:val="00F54C79"/>
    <w:rsid w:val="00F5517B"/>
    <w:rsid w:val="00F553CA"/>
    <w:rsid w:val="00F5631D"/>
    <w:rsid w:val="00F60F0F"/>
    <w:rsid w:val="00F70A86"/>
    <w:rsid w:val="00F82DCD"/>
    <w:rsid w:val="00F84C93"/>
    <w:rsid w:val="00F93BC2"/>
    <w:rsid w:val="00F97535"/>
    <w:rsid w:val="00FA2ED1"/>
    <w:rsid w:val="00FA5048"/>
    <w:rsid w:val="00FB0A0F"/>
    <w:rsid w:val="00FB10BE"/>
    <w:rsid w:val="00FC2ED5"/>
    <w:rsid w:val="00FC52E5"/>
    <w:rsid w:val="00FC6C76"/>
    <w:rsid w:val="00FE0B48"/>
    <w:rsid w:val="00FE2520"/>
    <w:rsid w:val="00FE7B81"/>
    <w:rsid w:val="00FF0B92"/>
    <w:rsid w:val="00FF1040"/>
    <w:rsid w:val="00FF12A4"/>
    <w:rsid w:val="00FF1CFE"/>
    <w:rsid w:val="00FF2694"/>
    <w:rsid w:val="00FF42D2"/>
    <w:rsid w:val="017F7F80"/>
    <w:rsid w:val="03E954A3"/>
    <w:rsid w:val="06264AF9"/>
    <w:rsid w:val="096F07BB"/>
    <w:rsid w:val="09AC0B29"/>
    <w:rsid w:val="0B8320EA"/>
    <w:rsid w:val="0BED49FF"/>
    <w:rsid w:val="0DA3585A"/>
    <w:rsid w:val="133460D4"/>
    <w:rsid w:val="152F0698"/>
    <w:rsid w:val="16B67AFA"/>
    <w:rsid w:val="173C3B81"/>
    <w:rsid w:val="17CC11EA"/>
    <w:rsid w:val="23F324A1"/>
    <w:rsid w:val="246F16EF"/>
    <w:rsid w:val="24DB4300"/>
    <w:rsid w:val="26B13BFF"/>
    <w:rsid w:val="2C644024"/>
    <w:rsid w:val="35852F54"/>
    <w:rsid w:val="358D1FDB"/>
    <w:rsid w:val="38373900"/>
    <w:rsid w:val="3BD2382E"/>
    <w:rsid w:val="3EC96CE1"/>
    <w:rsid w:val="41C97415"/>
    <w:rsid w:val="42F07982"/>
    <w:rsid w:val="4DE009CF"/>
    <w:rsid w:val="5A4552E4"/>
    <w:rsid w:val="5F275593"/>
    <w:rsid w:val="60B11B42"/>
    <w:rsid w:val="631A75F0"/>
    <w:rsid w:val="63D40C17"/>
    <w:rsid w:val="6E8E34DE"/>
    <w:rsid w:val="71FC408D"/>
    <w:rsid w:val="72C06EB0"/>
    <w:rsid w:val="74DB7B63"/>
    <w:rsid w:val="77B333FC"/>
    <w:rsid w:val="7F16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28"/>
    <w:autoRedefine/>
    <w:semiHidden/>
    <w:unhideWhenUsed/>
    <w:qFormat/>
    <w:uiPriority w:val="99"/>
    <w:pPr>
      <w:spacing w:after="120"/>
      <w:ind w:left="420" w:leftChars="200"/>
    </w:pPr>
  </w:style>
  <w:style w:type="paragraph" w:styleId="4">
    <w:name w:val="Body Text Indent 2"/>
    <w:basedOn w:val="1"/>
    <w:link w:val="2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19"/>
    <w:autoRedefine/>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3"/>
    <w:next w:val="1"/>
    <w:link w:val="29"/>
    <w:autoRedefine/>
    <w:qFormat/>
    <w:uiPriority w:val="0"/>
    <w:pPr>
      <w:ind w:firstLine="420" w:firstLineChars="200"/>
    </w:pPr>
    <w:rPr>
      <w:rFonts w:ascii="Calibri" w:hAnsi="Calibri" w:eastAsia="宋体" w:cs="宋体"/>
    </w:rPr>
  </w:style>
  <w:style w:type="character" w:styleId="12">
    <w:name w:val="Strong"/>
    <w:basedOn w:val="11"/>
    <w:autoRedefine/>
    <w:qFormat/>
    <w:uiPriority w:val="22"/>
    <w:rPr>
      <w:b/>
      <w:bCs/>
    </w:rPr>
  </w:style>
  <w:style w:type="character" w:styleId="13">
    <w:name w:val="Emphasis"/>
    <w:basedOn w:val="11"/>
    <w:autoRedefine/>
    <w:qFormat/>
    <w:uiPriority w:val="20"/>
    <w:rPr>
      <w:i/>
      <w:iCs/>
    </w:rPr>
  </w:style>
  <w:style w:type="character" w:styleId="14">
    <w:name w:val="Hyperlink"/>
    <w:basedOn w:val="11"/>
    <w:autoRedefine/>
    <w:semiHidden/>
    <w:unhideWhenUsed/>
    <w:qFormat/>
    <w:uiPriority w:val="99"/>
    <w:rPr>
      <w:color w:val="0000FF"/>
      <w:u w:val="single"/>
    </w:rPr>
  </w:style>
  <w:style w:type="character" w:customStyle="1" w:styleId="15">
    <w:name w:val="apple-converted-space"/>
    <w:basedOn w:val="11"/>
    <w:autoRedefine/>
    <w:qFormat/>
    <w:uiPriority w:val="0"/>
  </w:style>
  <w:style w:type="paragraph" w:customStyle="1" w:styleId="16">
    <w:name w:val="列出段落1"/>
    <w:basedOn w:val="1"/>
    <w:autoRedefine/>
    <w:qFormat/>
    <w:uiPriority w:val="34"/>
    <w:pPr>
      <w:ind w:firstLine="420" w:firstLineChars="200"/>
    </w:pPr>
  </w:style>
  <w:style w:type="character" w:customStyle="1" w:styleId="17">
    <w:name w:val="页眉 Char"/>
    <w:basedOn w:val="11"/>
    <w:link w:val="7"/>
    <w:autoRedefine/>
    <w:qFormat/>
    <w:uiPriority w:val="99"/>
    <w:rPr>
      <w:sz w:val="18"/>
      <w:szCs w:val="18"/>
    </w:rPr>
  </w:style>
  <w:style w:type="character" w:customStyle="1" w:styleId="18">
    <w:name w:val="页脚 Char"/>
    <w:basedOn w:val="11"/>
    <w:link w:val="6"/>
    <w:autoRedefine/>
    <w:qFormat/>
    <w:uiPriority w:val="99"/>
    <w:rPr>
      <w:sz w:val="18"/>
      <w:szCs w:val="18"/>
    </w:rPr>
  </w:style>
  <w:style w:type="character" w:customStyle="1" w:styleId="19">
    <w:name w:val="批注框文本 Char"/>
    <w:basedOn w:val="11"/>
    <w:link w:val="5"/>
    <w:autoRedefine/>
    <w:semiHidden/>
    <w:qFormat/>
    <w:uiPriority w:val="99"/>
    <w:rPr>
      <w:sz w:val="18"/>
      <w:szCs w:val="18"/>
    </w:rPr>
  </w:style>
  <w:style w:type="paragraph" w:customStyle="1" w:styleId="20">
    <w:name w:val="样式1"/>
    <w:basedOn w:val="7"/>
    <w:link w:val="22"/>
    <w:autoRedefine/>
    <w:qFormat/>
    <w:uiPriority w:val="0"/>
    <w:pPr>
      <w:tabs>
        <w:tab w:val="left" w:pos="3518"/>
        <w:tab w:val="clear" w:pos="4153"/>
        <w:tab w:val="clear" w:pos="8306"/>
      </w:tabs>
    </w:pPr>
  </w:style>
  <w:style w:type="paragraph" w:customStyle="1" w:styleId="21">
    <w:name w:val="样式2"/>
    <w:basedOn w:val="20"/>
    <w:link w:val="23"/>
    <w:autoRedefine/>
    <w:qFormat/>
    <w:uiPriority w:val="0"/>
    <w:pPr>
      <w:pBdr>
        <w:bottom w:val="none" w:color="auto" w:sz="0" w:space="0"/>
      </w:pBdr>
    </w:pPr>
  </w:style>
  <w:style w:type="character" w:customStyle="1" w:styleId="22">
    <w:name w:val="样式1 Char"/>
    <w:basedOn w:val="17"/>
    <w:link w:val="20"/>
    <w:autoRedefine/>
    <w:qFormat/>
    <w:uiPriority w:val="0"/>
  </w:style>
  <w:style w:type="character" w:customStyle="1" w:styleId="23">
    <w:name w:val="样式2 Char"/>
    <w:basedOn w:val="22"/>
    <w:link w:val="21"/>
    <w:autoRedefine/>
    <w:qFormat/>
    <w:uiPriority w:val="0"/>
  </w:style>
  <w:style w:type="character" w:customStyle="1" w:styleId="24">
    <w:name w:val="标题 1 Char"/>
    <w:basedOn w:val="11"/>
    <w:link w:val="2"/>
    <w:autoRedefine/>
    <w:qFormat/>
    <w:uiPriority w:val="9"/>
    <w:rPr>
      <w:rFonts w:ascii="宋体" w:hAnsi="宋体" w:eastAsia="宋体" w:cs="宋体"/>
      <w:b/>
      <w:bCs/>
      <w:kern w:val="36"/>
      <w:sz w:val="48"/>
      <w:szCs w:val="48"/>
    </w:rPr>
  </w:style>
  <w:style w:type="character" w:customStyle="1" w:styleId="25">
    <w:name w:val="正文文本缩进 2 Char"/>
    <w:basedOn w:val="11"/>
    <w:link w:val="4"/>
    <w:autoRedefine/>
    <w:semiHidden/>
    <w:qFormat/>
    <w:uiPriority w:val="99"/>
    <w:rPr>
      <w:rFonts w:ascii="宋体" w:hAnsi="宋体" w:eastAsia="宋体" w:cs="宋体"/>
      <w:kern w:val="0"/>
      <w:sz w:val="24"/>
      <w:szCs w:val="24"/>
    </w:rPr>
  </w:style>
  <w:style w:type="paragraph" w:customStyle="1" w:styleId="26">
    <w:name w:val="p0"/>
    <w:basedOn w:val="1"/>
    <w:autoRedefine/>
    <w:unhideWhenUsed/>
    <w:qFormat/>
    <w:uiPriority w:val="0"/>
    <w:pPr>
      <w:widowControl/>
    </w:pPr>
    <w:rPr>
      <w:rFonts w:hint="eastAsia" w:ascii="Calibri" w:hAnsi="Calibri" w:eastAsia="宋体" w:cs="Times New Roman"/>
      <w:szCs w:val="20"/>
    </w:rPr>
  </w:style>
  <w:style w:type="paragraph" w:styleId="27">
    <w:name w:val="List Paragraph"/>
    <w:basedOn w:val="1"/>
    <w:autoRedefine/>
    <w:unhideWhenUsed/>
    <w:qFormat/>
    <w:uiPriority w:val="34"/>
    <w:pPr>
      <w:ind w:firstLine="420" w:firstLineChars="200"/>
    </w:pPr>
  </w:style>
  <w:style w:type="character" w:customStyle="1" w:styleId="28">
    <w:name w:val="正文文本缩进 Char"/>
    <w:basedOn w:val="11"/>
    <w:link w:val="3"/>
    <w:autoRedefine/>
    <w:semiHidden/>
    <w:qFormat/>
    <w:uiPriority w:val="99"/>
    <w:rPr>
      <w:kern w:val="2"/>
      <w:sz w:val="21"/>
      <w:szCs w:val="22"/>
    </w:rPr>
  </w:style>
  <w:style w:type="character" w:customStyle="1" w:styleId="29">
    <w:name w:val="正文首行缩进 2 Char"/>
    <w:basedOn w:val="28"/>
    <w:link w:val="9"/>
    <w:autoRedefine/>
    <w:qFormat/>
    <w:uiPriority w:val="0"/>
    <w:rPr>
      <w:rFonts w:ascii="Calibri" w:hAnsi="Calibri" w:eastAsia="宋体" w:cs="宋体"/>
    </w:rPr>
  </w:style>
  <w:style w:type="character" w:customStyle="1" w:styleId="30">
    <w:name w:val="content-right_8zs40"/>
    <w:basedOn w:val="11"/>
    <w:autoRedefine/>
    <w:qFormat/>
    <w:uiPriority w:val="0"/>
  </w:style>
  <w:style w:type="character" w:customStyle="1" w:styleId="31">
    <w:name w:val="c-color-gray"/>
    <w:basedOn w:val="1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D06A-FEA4-4208-8C89-1C8C3312AF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5871</Words>
  <Characters>5989</Characters>
  <Lines>42</Lines>
  <Paragraphs>12</Paragraphs>
  <TotalTime>92</TotalTime>
  <ScaleCrop>false</ScaleCrop>
  <LinksUpToDate>false</LinksUpToDate>
  <CharactersWithSpaces>6000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2024-01-24T11:22:00Z</dcterms:created>
  <dc:creator>微软用户</dc:creator>
  <cp:lastModifiedBy>女人该有的骄傲</cp:lastModifiedBy>
  <cp:lastPrinted>2024-06-18T03:47:00Z</cp:lastPrinted>
  <dcterms:modified xsi:type="dcterms:W3CDTF">2024-09-29T04:19:49Z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4823C7AC52B94B748308274337F42022_13</vt:lpwstr>
  </property>
</Properties>
</file>